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AA0D8">
      <w:pPr>
        <w:pStyle w:val="46"/>
        <w:jc w:val="both"/>
        <w:rPr>
          <w:color w:val="auto"/>
          <w:highlight w:val="none"/>
        </w:rPr>
      </w:pPr>
    </w:p>
    <w:p w14:paraId="4B888B68">
      <w:pPr>
        <w:spacing w:line="360" w:lineRule="auto"/>
        <w:jc w:val="center"/>
        <w:rPr>
          <w:rFonts w:ascii="宋体" w:hAnsi="宋体" w:cs="宋体"/>
          <w:b/>
          <w:color w:val="auto"/>
          <w:sz w:val="44"/>
          <w:highlight w:val="none"/>
        </w:rPr>
      </w:pPr>
    </w:p>
    <w:p w14:paraId="5D107F6B">
      <w:pPr>
        <w:spacing w:line="360" w:lineRule="auto"/>
        <w:jc w:val="center"/>
        <w:rPr>
          <w:rFonts w:ascii="宋体" w:hAnsi="宋体" w:cs="宋体"/>
          <w:b/>
          <w:color w:val="auto"/>
          <w:sz w:val="44"/>
          <w:highlight w:val="none"/>
        </w:rPr>
      </w:pPr>
    </w:p>
    <w:p w14:paraId="482F5CDF">
      <w:pPr>
        <w:spacing w:line="360" w:lineRule="auto"/>
        <w:jc w:val="center"/>
        <w:rPr>
          <w:rFonts w:ascii="宋体" w:hAnsi="宋体" w:cs="宋体"/>
          <w:b/>
          <w:color w:val="auto"/>
          <w:sz w:val="44"/>
          <w:highlight w:val="none"/>
        </w:rPr>
      </w:pPr>
    </w:p>
    <w:p w14:paraId="7EB9525A">
      <w:pPr>
        <w:autoSpaceDE w:val="0"/>
        <w:autoSpaceDN w:val="0"/>
        <w:spacing w:line="360" w:lineRule="auto"/>
        <w:jc w:val="center"/>
        <w:textAlignment w:val="bottom"/>
        <w:rPr>
          <w:rFonts w:ascii="宋体" w:hAnsi="宋体" w:cs="宋体"/>
          <w:b/>
          <w:color w:val="auto"/>
          <w:sz w:val="56"/>
          <w:szCs w:val="21"/>
          <w:highlight w:val="none"/>
        </w:rPr>
      </w:pPr>
      <w:r>
        <w:rPr>
          <w:rFonts w:hint="eastAsia" w:ascii="宋体" w:hAnsi="宋体" w:cs="宋体"/>
          <w:b/>
          <w:color w:val="auto"/>
          <w:sz w:val="96"/>
          <w:szCs w:val="96"/>
          <w:highlight w:val="none"/>
        </w:rPr>
        <w:t>招 标 文 件</w:t>
      </w:r>
    </w:p>
    <w:p w14:paraId="0500440C">
      <w:pPr>
        <w:spacing w:line="360" w:lineRule="auto"/>
        <w:jc w:val="center"/>
        <w:rPr>
          <w:rFonts w:ascii="宋体" w:hAnsi="宋体" w:cs="宋体"/>
          <w:color w:val="auto"/>
          <w:sz w:val="44"/>
          <w:szCs w:val="20"/>
          <w:highlight w:val="none"/>
        </w:rPr>
      </w:pPr>
    </w:p>
    <w:p w14:paraId="08118E1F">
      <w:pPr>
        <w:spacing w:line="360" w:lineRule="auto"/>
        <w:jc w:val="center"/>
        <w:rPr>
          <w:rFonts w:ascii="宋体" w:hAnsi="宋体" w:cs="宋体"/>
          <w:color w:val="auto"/>
          <w:sz w:val="44"/>
          <w:szCs w:val="20"/>
          <w:highlight w:val="none"/>
        </w:rPr>
      </w:pPr>
    </w:p>
    <w:p w14:paraId="5264DCAA">
      <w:pPr>
        <w:spacing w:line="360" w:lineRule="auto"/>
        <w:jc w:val="center"/>
        <w:rPr>
          <w:rFonts w:ascii="宋体" w:hAnsi="宋体" w:cs="宋体"/>
          <w:color w:val="auto"/>
          <w:sz w:val="44"/>
          <w:szCs w:val="20"/>
          <w:highlight w:val="none"/>
        </w:rPr>
      </w:pPr>
    </w:p>
    <w:p w14:paraId="7F2F8EB0">
      <w:pPr>
        <w:spacing w:line="360" w:lineRule="auto"/>
        <w:jc w:val="center"/>
        <w:rPr>
          <w:rFonts w:ascii="宋体" w:hAnsi="宋体" w:cs="宋体"/>
          <w:color w:val="auto"/>
          <w:sz w:val="44"/>
          <w:szCs w:val="20"/>
          <w:highlight w:val="none"/>
        </w:rPr>
      </w:pPr>
    </w:p>
    <w:p w14:paraId="0145D76D">
      <w:pPr>
        <w:pStyle w:val="3"/>
        <w:tabs>
          <w:tab w:val="left" w:pos="1620"/>
        </w:tabs>
        <w:snapToGrid w:val="0"/>
        <w:spacing w:before="156" w:after="156" w:line="360" w:lineRule="auto"/>
        <w:ind w:firstLine="964" w:firstLineChars="400"/>
        <w:rPr>
          <w:rFonts w:hint="eastAsia" w:hAnsi="宋体" w:eastAsia="宋体" w:cs="宋体"/>
          <w:b/>
          <w:bCs/>
          <w:color w:val="auto"/>
          <w:szCs w:val="32"/>
          <w:highlight w:val="none"/>
          <w:lang w:eastAsia="zh-CN"/>
        </w:rPr>
      </w:pPr>
      <w:r>
        <w:rPr>
          <w:rFonts w:hint="eastAsia" w:hAnsi="宋体" w:cs="宋体"/>
          <w:b/>
          <w:bCs/>
          <w:color w:val="auto"/>
          <w:szCs w:val="32"/>
          <w:highlight w:val="none"/>
        </w:rPr>
        <w:t>项目名称：</w:t>
      </w:r>
      <w:r>
        <w:rPr>
          <w:rFonts w:hint="eastAsia" w:hAnsi="宋体" w:cs="宋体"/>
          <w:b/>
          <w:bCs/>
          <w:color w:val="auto"/>
          <w:szCs w:val="32"/>
          <w:highlight w:val="none"/>
          <w:lang w:eastAsia="zh-CN"/>
        </w:rPr>
        <w:t>台州国际博览中心</w:t>
      </w:r>
      <w:r>
        <w:rPr>
          <w:rFonts w:hint="eastAsia" w:ascii="宋体" w:hAnsi="宋体" w:eastAsia="宋体" w:cs="宋体"/>
          <w:b/>
          <w:bCs/>
          <w:color w:val="auto"/>
          <w:szCs w:val="32"/>
          <w:highlight w:val="none"/>
          <w:lang w:eastAsia="zh-CN"/>
        </w:rPr>
        <w:t>水电气接驳</w:t>
      </w:r>
      <w:r>
        <w:rPr>
          <w:rFonts w:hint="eastAsia" w:ascii="宋体" w:hAnsi="宋体" w:eastAsia="宋体" w:cs="宋体"/>
          <w:b/>
          <w:bCs/>
          <w:color w:val="auto"/>
          <w:szCs w:val="32"/>
          <w:highlight w:val="none"/>
          <w:lang w:val="en-US" w:eastAsia="zh-CN"/>
        </w:rPr>
        <w:t>（含维保）</w:t>
      </w:r>
      <w:r>
        <w:rPr>
          <w:rFonts w:hint="eastAsia" w:ascii="宋体" w:hAnsi="宋体" w:eastAsia="宋体" w:cs="宋体"/>
          <w:b/>
          <w:bCs/>
          <w:color w:val="auto"/>
          <w:szCs w:val="32"/>
          <w:highlight w:val="none"/>
          <w:lang w:eastAsia="zh-CN"/>
        </w:rPr>
        <w:t>服务商</w:t>
      </w:r>
      <w:r>
        <w:rPr>
          <w:rFonts w:hint="eastAsia" w:hAnsi="宋体" w:cs="宋体"/>
          <w:b/>
          <w:bCs/>
          <w:color w:val="auto"/>
          <w:szCs w:val="32"/>
          <w:highlight w:val="none"/>
          <w:lang w:eastAsia="zh-CN"/>
        </w:rPr>
        <w:t>采购项目</w:t>
      </w:r>
    </w:p>
    <w:p w14:paraId="3CE8286B">
      <w:pPr>
        <w:pStyle w:val="3"/>
        <w:tabs>
          <w:tab w:val="left" w:pos="1620"/>
        </w:tabs>
        <w:snapToGrid w:val="0"/>
        <w:spacing w:before="156" w:after="156" w:line="360" w:lineRule="auto"/>
        <w:ind w:firstLine="964" w:firstLineChars="400"/>
        <w:rPr>
          <w:rFonts w:hint="eastAsia" w:hAnsi="宋体" w:eastAsia="宋体" w:cs="宋体"/>
          <w:b/>
          <w:bCs/>
          <w:color w:val="auto"/>
          <w:szCs w:val="32"/>
          <w:highlight w:val="none"/>
          <w:lang w:eastAsia="zh-CN"/>
        </w:rPr>
      </w:pPr>
      <w:r>
        <w:rPr>
          <w:rFonts w:hint="eastAsia" w:hAnsi="宋体" w:cs="宋体"/>
          <w:b/>
          <w:bCs/>
          <w:color w:val="auto"/>
          <w:szCs w:val="32"/>
          <w:highlight w:val="none"/>
          <w:lang w:eastAsia="zh-CN"/>
        </w:rPr>
        <w:t>招标人</w:t>
      </w:r>
      <w:r>
        <w:rPr>
          <w:rFonts w:hint="eastAsia" w:hAnsi="宋体" w:cs="宋体"/>
          <w:b/>
          <w:bCs/>
          <w:color w:val="auto"/>
          <w:szCs w:val="32"/>
          <w:highlight w:val="none"/>
        </w:rPr>
        <w:t>：</w:t>
      </w:r>
      <w:r>
        <w:rPr>
          <w:rFonts w:hint="eastAsia" w:hAnsi="宋体" w:cs="宋体"/>
          <w:b/>
          <w:bCs/>
          <w:color w:val="auto"/>
          <w:szCs w:val="32"/>
          <w:highlight w:val="none"/>
          <w:lang w:eastAsia="zh-CN"/>
        </w:rPr>
        <w:t>浙江台博会展有限公司</w:t>
      </w:r>
    </w:p>
    <w:p w14:paraId="29B36A92">
      <w:pPr>
        <w:pStyle w:val="3"/>
        <w:tabs>
          <w:tab w:val="left" w:pos="1620"/>
        </w:tabs>
        <w:snapToGrid w:val="0"/>
        <w:spacing w:before="156" w:after="156" w:line="360" w:lineRule="auto"/>
        <w:ind w:firstLine="964" w:firstLineChars="400"/>
        <w:rPr>
          <w:rFonts w:hint="eastAsia" w:hAnsi="宋体" w:eastAsia="宋体" w:cs="宋体"/>
          <w:b/>
          <w:bCs/>
          <w:color w:val="auto"/>
          <w:szCs w:val="32"/>
          <w:highlight w:val="none"/>
          <w:lang w:eastAsia="zh-CN"/>
        </w:rPr>
      </w:pPr>
      <w:r>
        <w:rPr>
          <w:rFonts w:hint="eastAsia" w:hAnsi="宋体" w:cs="宋体"/>
          <w:b/>
          <w:bCs/>
          <w:color w:val="auto"/>
          <w:szCs w:val="32"/>
          <w:highlight w:val="none"/>
        </w:rPr>
        <w:t>联 系 人：</w:t>
      </w:r>
      <w:r>
        <w:rPr>
          <w:rFonts w:hint="eastAsia" w:hAnsi="宋体" w:cs="宋体"/>
          <w:b/>
          <w:bCs/>
          <w:color w:val="auto"/>
          <w:szCs w:val="32"/>
          <w:highlight w:val="none"/>
          <w:lang w:val="en-US" w:eastAsia="zh-CN"/>
        </w:rPr>
        <w:t>颜先生</w:t>
      </w:r>
      <w:r>
        <w:rPr>
          <w:rFonts w:hint="eastAsia" w:hAnsi="宋体" w:cs="宋体"/>
          <w:b/>
          <w:bCs/>
          <w:color w:val="auto"/>
          <w:szCs w:val="32"/>
          <w:highlight w:val="none"/>
          <w:lang w:eastAsia="zh-CN"/>
        </w:rPr>
        <w:t xml:space="preserve">   </w:t>
      </w:r>
      <w:r>
        <w:rPr>
          <w:rFonts w:hint="eastAsia" w:hAnsi="宋体" w:cs="宋体"/>
          <w:b/>
          <w:bCs/>
          <w:color w:val="auto"/>
          <w:szCs w:val="32"/>
          <w:highlight w:val="none"/>
        </w:rPr>
        <w:t xml:space="preserve">      联系电话：</w:t>
      </w:r>
      <w:r>
        <w:rPr>
          <w:rFonts w:hint="eastAsia" w:hAnsi="宋体" w:cs="宋体"/>
          <w:b/>
          <w:bCs/>
          <w:color w:val="auto"/>
          <w:szCs w:val="32"/>
          <w:highlight w:val="none"/>
          <w:lang w:eastAsia="zh-CN"/>
        </w:rPr>
        <w:t>0576-8253</w:t>
      </w:r>
      <w:r>
        <w:rPr>
          <w:rFonts w:hint="eastAsia" w:hAnsi="宋体" w:cs="宋体"/>
          <w:b/>
          <w:bCs/>
          <w:color w:val="auto"/>
          <w:szCs w:val="32"/>
          <w:highlight w:val="none"/>
          <w:lang w:val="en-US" w:eastAsia="zh-CN"/>
        </w:rPr>
        <w:t>1009</w:t>
      </w:r>
      <w:r>
        <w:rPr>
          <w:rFonts w:hint="eastAsia" w:hAnsi="宋体" w:cs="宋体"/>
          <w:b/>
          <w:bCs/>
          <w:color w:val="auto"/>
          <w:szCs w:val="32"/>
          <w:highlight w:val="none"/>
          <w:lang w:eastAsia="zh-CN"/>
        </w:rPr>
        <w:t xml:space="preserve">         </w:t>
      </w:r>
    </w:p>
    <w:p w14:paraId="38361EFF">
      <w:pPr>
        <w:pStyle w:val="3"/>
        <w:tabs>
          <w:tab w:val="left" w:pos="1620"/>
        </w:tabs>
        <w:snapToGrid w:val="0"/>
        <w:spacing w:before="156" w:after="156" w:line="360" w:lineRule="auto"/>
        <w:ind w:firstLine="964" w:firstLineChars="400"/>
        <w:rPr>
          <w:rFonts w:hAnsi="宋体" w:cs="宋体"/>
          <w:b/>
          <w:bCs/>
          <w:color w:val="auto"/>
          <w:szCs w:val="32"/>
          <w:highlight w:val="none"/>
        </w:rPr>
      </w:pPr>
      <w:r>
        <w:rPr>
          <w:rFonts w:hint="eastAsia" w:hAnsi="宋体" w:cs="宋体"/>
          <w:b/>
          <w:bCs/>
          <w:color w:val="auto"/>
          <w:szCs w:val="32"/>
          <w:highlight w:val="none"/>
        </w:rPr>
        <w:t>代理机构：台州市建设咨询有限公司</w:t>
      </w:r>
    </w:p>
    <w:p w14:paraId="3A4B8A4C">
      <w:pPr>
        <w:pStyle w:val="3"/>
        <w:tabs>
          <w:tab w:val="left" w:pos="1620"/>
        </w:tabs>
        <w:snapToGrid w:val="0"/>
        <w:spacing w:before="156" w:after="156" w:line="360" w:lineRule="auto"/>
        <w:ind w:firstLine="964" w:firstLineChars="400"/>
        <w:rPr>
          <w:rFonts w:hint="default" w:hAnsi="宋体" w:eastAsia="宋体" w:cs="宋体"/>
          <w:b/>
          <w:bCs/>
          <w:color w:val="auto"/>
          <w:szCs w:val="32"/>
          <w:highlight w:val="none"/>
          <w:lang w:val="en-US" w:eastAsia="zh-CN"/>
        </w:rPr>
      </w:pPr>
      <w:r>
        <w:rPr>
          <w:rFonts w:hint="eastAsia" w:hAnsi="宋体" w:cs="宋体"/>
          <w:b/>
          <w:bCs/>
          <w:color w:val="auto"/>
          <w:szCs w:val="32"/>
          <w:highlight w:val="none"/>
        </w:rPr>
        <w:t>联 系 人：</w:t>
      </w:r>
      <w:r>
        <w:rPr>
          <w:rFonts w:hint="eastAsia" w:hAnsi="宋体" w:cs="宋体"/>
          <w:b/>
          <w:bCs/>
          <w:color w:val="auto"/>
          <w:szCs w:val="32"/>
          <w:highlight w:val="none"/>
          <w:lang w:val="en-US" w:eastAsia="zh-CN"/>
        </w:rPr>
        <w:t>李广明</w:t>
      </w:r>
      <w:r>
        <w:rPr>
          <w:rFonts w:hint="eastAsia" w:hAnsi="宋体" w:cs="宋体"/>
          <w:b/>
          <w:bCs/>
          <w:color w:val="auto"/>
          <w:szCs w:val="32"/>
          <w:highlight w:val="none"/>
          <w:lang w:eastAsia="zh-CN"/>
        </w:rPr>
        <w:t xml:space="preserve">  </w:t>
      </w:r>
      <w:r>
        <w:rPr>
          <w:rFonts w:hint="eastAsia" w:hAnsi="宋体" w:cs="宋体"/>
          <w:b/>
          <w:bCs/>
          <w:color w:val="auto"/>
          <w:szCs w:val="32"/>
          <w:highlight w:val="none"/>
        </w:rPr>
        <w:t xml:space="preserve">      联系电话：</w:t>
      </w:r>
      <w:r>
        <w:rPr>
          <w:rFonts w:hint="eastAsia" w:hAnsi="宋体" w:cs="宋体"/>
          <w:b/>
          <w:bCs/>
          <w:color w:val="auto"/>
          <w:szCs w:val="32"/>
          <w:highlight w:val="none"/>
          <w:lang w:val="en-US" w:eastAsia="zh-CN"/>
        </w:rPr>
        <w:t>0576-88517791</w:t>
      </w:r>
    </w:p>
    <w:p w14:paraId="459A2C06">
      <w:pPr>
        <w:pStyle w:val="3"/>
        <w:tabs>
          <w:tab w:val="left" w:pos="1620"/>
        </w:tabs>
        <w:snapToGrid w:val="0"/>
        <w:spacing w:before="156" w:after="156" w:line="360" w:lineRule="auto"/>
        <w:ind w:firstLine="964" w:firstLineChars="400"/>
        <w:rPr>
          <w:rFonts w:hAnsi="宋体" w:cs="宋体"/>
          <w:b/>
          <w:bCs/>
          <w:color w:val="auto"/>
          <w:szCs w:val="32"/>
          <w:highlight w:val="none"/>
        </w:rPr>
      </w:pPr>
    </w:p>
    <w:p w14:paraId="251FF2F8">
      <w:pPr>
        <w:pStyle w:val="3"/>
        <w:spacing w:before="156" w:after="156" w:line="360" w:lineRule="auto"/>
        <w:rPr>
          <w:rFonts w:hAnsi="宋体" w:cs="宋体"/>
          <w:color w:val="auto"/>
          <w:sz w:val="44"/>
          <w:szCs w:val="44"/>
          <w:highlight w:val="none"/>
        </w:rPr>
      </w:pPr>
    </w:p>
    <w:p w14:paraId="4A3B6250">
      <w:pPr>
        <w:pStyle w:val="3"/>
        <w:spacing w:before="156" w:after="156" w:line="360" w:lineRule="auto"/>
        <w:jc w:val="center"/>
        <w:rPr>
          <w:rFonts w:hAnsi="宋体" w:cs="宋体"/>
          <w:color w:val="auto"/>
          <w:sz w:val="44"/>
          <w:szCs w:val="44"/>
          <w:highlight w:val="none"/>
        </w:rPr>
      </w:pPr>
    </w:p>
    <w:p w14:paraId="3940C6E4">
      <w:pPr>
        <w:snapToGrid w:val="0"/>
        <w:spacing w:before="156" w:beforeLines="50" w:line="360" w:lineRule="auto"/>
        <w:ind w:left="384" w:leftChars="1" w:hanging="381" w:hangingChars="133"/>
        <w:jc w:val="center"/>
        <w:rPr>
          <w:rFonts w:ascii="宋体" w:hAnsi="宋体" w:cs="宋体"/>
          <w:b/>
          <w:bCs/>
          <w:color w:val="auto"/>
          <w:w w:val="95"/>
          <w:sz w:val="30"/>
          <w:szCs w:val="30"/>
          <w:highlight w:val="none"/>
        </w:rPr>
      </w:pPr>
    </w:p>
    <w:p w14:paraId="659D91A5">
      <w:pPr>
        <w:snapToGrid w:val="0"/>
        <w:spacing w:before="156" w:beforeLines="50" w:line="360" w:lineRule="auto"/>
        <w:ind w:left="384" w:leftChars="1" w:hanging="381" w:hangingChars="133"/>
        <w:jc w:val="center"/>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二〇二</w:t>
      </w:r>
      <w:r>
        <w:rPr>
          <w:rFonts w:hint="eastAsia" w:ascii="宋体" w:hAnsi="宋体" w:cs="宋体"/>
          <w:b/>
          <w:bCs/>
          <w:color w:val="auto"/>
          <w:w w:val="95"/>
          <w:sz w:val="30"/>
          <w:szCs w:val="30"/>
          <w:highlight w:val="none"/>
          <w:lang w:val="en-US" w:eastAsia="zh-CN"/>
        </w:rPr>
        <w:t>五</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四</w:t>
      </w:r>
      <w:r>
        <w:rPr>
          <w:rFonts w:hint="eastAsia" w:ascii="宋体" w:hAnsi="宋体" w:cs="宋体"/>
          <w:b/>
          <w:bCs/>
          <w:color w:val="auto"/>
          <w:w w:val="95"/>
          <w:sz w:val="30"/>
          <w:szCs w:val="30"/>
          <w:highlight w:val="none"/>
        </w:rPr>
        <w:t xml:space="preserve">月 </w:t>
      </w:r>
    </w:p>
    <w:p w14:paraId="319FF890">
      <w:pPr>
        <w:widowControl/>
        <w:spacing w:line="360" w:lineRule="auto"/>
        <w:jc w:val="left"/>
        <w:rPr>
          <w:rFonts w:ascii="宋体" w:hAnsi="宋体" w:cs="宋体"/>
          <w:b/>
          <w:bCs/>
          <w:color w:val="auto"/>
          <w:w w:val="95"/>
          <w:sz w:val="30"/>
          <w:szCs w:val="30"/>
          <w:highlight w:val="none"/>
        </w:rPr>
        <w:sectPr>
          <w:pgSz w:w="11906" w:h="16838"/>
          <w:pgMar w:top="1247" w:right="1361" w:bottom="1247" w:left="1361"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p>
    <w:p w14:paraId="7A02C32F">
      <w:pPr>
        <w:snapToGrid w:val="0"/>
        <w:spacing w:before="120" w:beforeLines="50" w:after="120"/>
        <w:ind w:left="588" w:leftChars="1" w:hanging="585" w:hangingChars="133"/>
        <w:rPr>
          <w:rFonts w:hAnsi="宋体" w:cs="宋体"/>
          <w:color w:val="auto"/>
          <w:sz w:val="44"/>
          <w:szCs w:val="44"/>
          <w:highlight w:val="none"/>
        </w:rPr>
      </w:pPr>
    </w:p>
    <w:p w14:paraId="58912816">
      <w:pPr>
        <w:pStyle w:val="3"/>
        <w:spacing w:before="120" w:after="120" w:line="360" w:lineRule="auto"/>
        <w:jc w:val="center"/>
        <w:rPr>
          <w:rFonts w:hAnsi="宋体" w:cs="宋体"/>
          <w:b/>
          <w:bCs/>
          <w:color w:val="auto"/>
          <w:sz w:val="48"/>
          <w:szCs w:val="48"/>
          <w:highlight w:val="none"/>
        </w:rPr>
      </w:pPr>
      <w:r>
        <w:rPr>
          <w:rFonts w:hint="eastAsia" w:hAnsi="宋体" w:cs="宋体"/>
          <w:b/>
          <w:bCs/>
          <w:color w:val="auto"/>
          <w:sz w:val="48"/>
          <w:szCs w:val="48"/>
          <w:highlight w:val="none"/>
        </w:rPr>
        <w:t>目    录</w:t>
      </w:r>
    </w:p>
    <w:p w14:paraId="5BFB94D3">
      <w:pPr>
        <w:pStyle w:val="3"/>
        <w:spacing w:before="120" w:after="120" w:line="360" w:lineRule="auto"/>
        <w:jc w:val="center"/>
        <w:rPr>
          <w:rFonts w:hAnsi="宋体" w:cs="宋体"/>
          <w:color w:val="auto"/>
          <w:sz w:val="44"/>
          <w:szCs w:val="44"/>
          <w:highlight w:val="none"/>
        </w:rPr>
      </w:pPr>
    </w:p>
    <w:p w14:paraId="0F81FE6E">
      <w:pPr>
        <w:numPr>
          <w:ilvl w:val="0"/>
          <w:numId w:val="5"/>
        </w:numPr>
        <w:spacing w:before="120" w:beforeLines="5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公开招标公告</w:t>
      </w:r>
    </w:p>
    <w:p w14:paraId="0943DCC7">
      <w:pPr>
        <w:numPr>
          <w:ilvl w:val="0"/>
          <w:numId w:val="5"/>
        </w:numPr>
        <w:spacing w:before="120" w:beforeLines="5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招标需求</w:t>
      </w:r>
    </w:p>
    <w:p w14:paraId="7F982E98">
      <w:pPr>
        <w:numPr>
          <w:ilvl w:val="0"/>
          <w:numId w:val="5"/>
        </w:numPr>
        <w:spacing w:before="120" w:beforeLines="5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投标人须知</w:t>
      </w:r>
    </w:p>
    <w:p w14:paraId="7A6D66CD">
      <w:pPr>
        <w:numPr>
          <w:ilvl w:val="0"/>
          <w:numId w:val="5"/>
        </w:numPr>
        <w:spacing w:before="120" w:beforeLines="5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评标办法及评分标准</w:t>
      </w:r>
    </w:p>
    <w:p w14:paraId="55B528C5">
      <w:pPr>
        <w:numPr>
          <w:ilvl w:val="0"/>
          <w:numId w:val="5"/>
        </w:numPr>
        <w:spacing w:before="120" w:beforeLines="5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采购合同主要条款</w:t>
      </w:r>
    </w:p>
    <w:p w14:paraId="106398FC">
      <w:pPr>
        <w:numPr>
          <w:ilvl w:val="0"/>
          <w:numId w:val="5"/>
        </w:numPr>
        <w:spacing w:before="120" w:beforeLines="5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投标文件格式</w:t>
      </w:r>
    </w:p>
    <w:p w14:paraId="4E96FE03">
      <w:pPr>
        <w:widowControl/>
        <w:spacing w:line="360" w:lineRule="auto"/>
        <w:jc w:val="left"/>
        <w:rPr>
          <w:rFonts w:ascii="宋体" w:hAnsi="宋体" w:cs="宋体"/>
          <w:color w:val="auto"/>
          <w:sz w:val="30"/>
          <w:szCs w:val="30"/>
          <w:highlight w:val="none"/>
        </w:rPr>
        <w:sectPr>
          <w:footerReference r:id="rId3" w:type="default"/>
          <w:footnotePr>
            <w:numRestart w:val="eachPage"/>
          </w:footnotePr>
          <w:endnotePr>
            <w:numRestart w:val="eachSect"/>
          </w:endnotePr>
          <w:pgSz w:w="11907" w:h="16840"/>
          <w:pgMar w:top="1247" w:right="1247" w:bottom="1247" w:left="1247" w:header="851" w:footer="822" w:gutter="0"/>
          <w:pgBorders>
            <w:top w:val="none" w:sz="0" w:space="0"/>
            <w:left w:val="none" w:sz="0" w:space="0"/>
            <w:bottom w:val="none" w:sz="0" w:space="0"/>
            <w:right w:val="none" w:sz="0" w:space="0"/>
          </w:pgBorders>
          <w:pgNumType w:fmt="decimal" w:start="1"/>
          <w:cols w:space="720" w:num="1"/>
        </w:sectPr>
      </w:pPr>
    </w:p>
    <w:p w14:paraId="3A06576D">
      <w:pPr>
        <w:widowControl w:val="0"/>
        <w:snapToGrid w:val="0"/>
        <w:spacing w:before="120" w:beforeLines="50" w:after="120" w:afterLines="50" w:line="360" w:lineRule="auto"/>
        <w:jc w:val="center"/>
        <w:outlineLvl w:val="0"/>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第一章  公开招标公告</w:t>
      </w:r>
    </w:p>
    <w:p w14:paraId="60BC173B">
      <w:pPr>
        <w:widowControl w:val="0"/>
        <w:snapToGrid w:val="0"/>
        <w:spacing w:after="156" w:afterLines="0" w:line="336"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台州市建设咨询有限公司受</w:t>
      </w:r>
      <w:r>
        <w:rPr>
          <w:rFonts w:hint="eastAsia" w:ascii="宋体" w:hAnsi="宋体" w:cs="宋体"/>
          <w:color w:val="auto"/>
          <w:kern w:val="0"/>
          <w:sz w:val="24"/>
          <w:szCs w:val="24"/>
          <w:highlight w:val="none"/>
          <w:lang w:val="en-US" w:eastAsia="zh-CN" w:bidi="ar-SA"/>
        </w:rPr>
        <w:t>浙江台博会展</w:t>
      </w:r>
      <w:r>
        <w:rPr>
          <w:rFonts w:hint="eastAsia" w:ascii="宋体" w:hAnsi="宋体" w:eastAsia="宋体" w:cs="宋体"/>
          <w:color w:val="auto"/>
          <w:kern w:val="0"/>
          <w:sz w:val="24"/>
          <w:szCs w:val="24"/>
          <w:highlight w:val="none"/>
          <w:lang w:val="en-US" w:eastAsia="zh-CN" w:bidi="ar-SA"/>
        </w:rPr>
        <w:t>有限公司委托，现就</w:t>
      </w:r>
      <w:r>
        <w:rPr>
          <w:rFonts w:hint="eastAsia" w:ascii="宋体" w:hAnsi="宋体" w:cs="宋体"/>
          <w:color w:val="auto"/>
          <w:kern w:val="0"/>
          <w:sz w:val="24"/>
          <w:szCs w:val="24"/>
          <w:highlight w:val="none"/>
          <w:u w:val="single"/>
          <w:lang w:val="en-US" w:eastAsia="zh-CN" w:bidi="ar-SA"/>
        </w:rPr>
        <w:t>台州国际博览中心水电气接</w:t>
      </w:r>
      <w:r>
        <w:rPr>
          <w:rFonts w:hint="eastAsia" w:ascii="宋体" w:hAnsi="宋体" w:eastAsia="宋体" w:cs="宋体"/>
          <w:color w:val="auto"/>
          <w:kern w:val="0"/>
          <w:sz w:val="24"/>
          <w:szCs w:val="24"/>
          <w:highlight w:val="none"/>
          <w:u w:val="single"/>
          <w:lang w:val="en-US" w:eastAsia="zh-CN" w:bidi="ar-SA"/>
        </w:rPr>
        <w:t>驳</w:t>
      </w:r>
      <w:bookmarkStart w:id="0" w:name="OLE_LINK30"/>
      <w:r>
        <w:rPr>
          <w:rFonts w:hint="eastAsia" w:ascii="宋体" w:hAnsi="宋体" w:eastAsia="宋体" w:cs="宋体"/>
          <w:color w:val="auto"/>
          <w:kern w:val="0"/>
          <w:sz w:val="24"/>
          <w:szCs w:val="24"/>
          <w:highlight w:val="none"/>
          <w:u w:val="single"/>
          <w:lang w:val="en-US" w:eastAsia="zh-CN" w:bidi="ar-SA"/>
        </w:rPr>
        <w:t>（含维保）</w:t>
      </w:r>
      <w:bookmarkEnd w:id="0"/>
      <w:r>
        <w:rPr>
          <w:rFonts w:hint="eastAsia" w:ascii="宋体" w:hAnsi="宋体" w:eastAsia="宋体" w:cs="宋体"/>
          <w:color w:val="auto"/>
          <w:kern w:val="0"/>
          <w:sz w:val="24"/>
          <w:szCs w:val="24"/>
          <w:highlight w:val="none"/>
          <w:u w:val="single"/>
          <w:lang w:val="en-US" w:eastAsia="zh-CN" w:bidi="ar-SA"/>
        </w:rPr>
        <w:t>服</w:t>
      </w:r>
      <w:r>
        <w:rPr>
          <w:rFonts w:hint="eastAsia" w:ascii="宋体" w:hAnsi="宋体" w:cs="宋体"/>
          <w:color w:val="auto"/>
          <w:kern w:val="0"/>
          <w:sz w:val="24"/>
          <w:szCs w:val="24"/>
          <w:highlight w:val="none"/>
          <w:u w:val="single"/>
          <w:lang w:val="en-US" w:eastAsia="zh-CN" w:bidi="ar-SA"/>
        </w:rPr>
        <w:t>务商采购项目</w:t>
      </w:r>
      <w:r>
        <w:rPr>
          <w:rFonts w:hint="eastAsia" w:ascii="宋体" w:hAnsi="宋体" w:eastAsia="宋体" w:cs="宋体"/>
          <w:color w:val="auto"/>
          <w:kern w:val="0"/>
          <w:sz w:val="24"/>
          <w:szCs w:val="24"/>
          <w:highlight w:val="none"/>
          <w:lang w:val="en-US" w:eastAsia="zh-CN" w:bidi="ar-SA"/>
        </w:rPr>
        <w:t>进行公开招标。凡具备本项目投标资格要求且能够及时提供本项目</w:t>
      </w:r>
      <w:r>
        <w:rPr>
          <w:rFonts w:hint="eastAsia" w:ascii="宋体" w:hAnsi="宋体" w:cs="宋体"/>
          <w:color w:val="auto"/>
          <w:kern w:val="0"/>
          <w:sz w:val="24"/>
          <w:szCs w:val="24"/>
          <w:highlight w:val="none"/>
          <w:lang w:val="en-US" w:eastAsia="zh-CN" w:bidi="ar-SA"/>
        </w:rPr>
        <w:t>服务</w:t>
      </w:r>
      <w:r>
        <w:rPr>
          <w:rFonts w:hint="eastAsia" w:ascii="宋体" w:hAnsi="宋体" w:eastAsia="宋体" w:cs="宋体"/>
          <w:color w:val="auto"/>
          <w:kern w:val="0"/>
          <w:sz w:val="24"/>
          <w:szCs w:val="24"/>
          <w:highlight w:val="none"/>
          <w:lang w:val="en-US" w:eastAsia="zh-CN" w:bidi="ar-SA"/>
        </w:rPr>
        <w:t>的投标人均可参加。</w:t>
      </w:r>
    </w:p>
    <w:p w14:paraId="4A4308A6">
      <w:pPr>
        <w:numPr>
          <w:ilvl w:val="0"/>
          <w:numId w:val="6"/>
        </w:numPr>
        <w:snapToGrid w:val="0"/>
        <w:spacing w:line="336"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采购方式：</w:t>
      </w:r>
      <w:r>
        <w:rPr>
          <w:rFonts w:hint="eastAsia" w:ascii="宋体" w:hAnsi="宋体" w:cs="宋体"/>
          <w:b w:val="0"/>
          <w:bCs w:val="0"/>
          <w:color w:val="auto"/>
          <w:sz w:val="24"/>
          <w:highlight w:val="none"/>
        </w:rPr>
        <w:t>公开招标</w:t>
      </w:r>
    </w:p>
    <w:p w14:paraId="553CB045">
      <w:pPr>
        <w:numPr>
          <w:ilvl w:val="0"/>
          <w:numId w:val="6"/>
        </w:numPr>
        <w:snapToGrid w:val="0"/>
        <w:spacing w:line="336"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采购内容及数量</w:t>
      </w:r>
    </w:p>
    <w:tbl>
      <w:tblPr>
        <w:tblStyle w:val="49"/>
        <w:tblW w:w="9253" w:type="dxa"/>
        <w:tblInd w:w="93" w:type="dxa"/>
        <w:tblLayout w:type="fixed"/>
        <w:tblCellMar>
          <w:top w:w="0" w:type="dxa"/>
          <w:left w:w="108" w:type="dxa"/>
          <w:bottom w:w="0" w:type="dxa"/>
          <w:right w:w="108" w:type="dxa"/>
        </w:tblCellMar>
      </w:tblPr>
      <w:tblGrid>
        <w:gridCol w:w="851"/>
        <w:gridCol w:w="1952"/>
        <w:gridCol w:w="3300"/>
        <w:gridCol w:w="1455"/>
        <w:gridCol w:w="795"/>
        <w:gridCol w:w="900"/>
      </w:tblGrid>
      <w:tr w14:paraId="7C85531A">
        <w:tblPrEx>
          <w:tblCellMar>
            <w:top w:w="0" w:type="dxa"/>
            <w:left w:w="108" w:type="dxa"/>
            <w:bottom w:w="0" w:type="dxa"/>
            <w:right w:w="108" w:type="dxa"/>
          </w:tblCellMar>
        </w:tblPrEx>
        <w:trPr>
          <w:trHeight w:val="52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75A6732">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标项</w:t>
            </w:r>
          </w:p>
        </w:tc>
        <w:tc>
          <w:tcPr>
            <w:tcW w:w="1952" w:type="dxa"/>
            <w:tcBorders>
              <w:top w:val="single" w:color="auto" w:sz="4" w:space="0"/>
              <w:left w:val="nil"/>
              <w:bottom w:val="single" w:color="auto" w:sz="4" w:space="0"/>
              <w:right w:val="single" w:color="auto" w:sz="4" w:space="0"/>
            </w:tcBorders>
            <w:noWrap w:val="0"/>
            <w:vAlign w:val="center"/>
          </w:tcPr>
          <w:p w14:paraId="5B328A75">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采购内容</w:t>
            </w:r>
          </w:p>
        </w:tc>
        <w:tc>
          <w:tcPr>
            <w:tcW w:w="3300" w:type="dxa"/>
            <w:tcBorders>
              <w:top w:val="single" w:color="auto" w:sz="4" w:space="0"/>
              <w:left w:val="nil"/>
              <w:bottom w:val="single" w:color="auto" w:sz="4" w:space="0"/>
              <w:right w:val="single" w:color="auto" w:sz="4" w:space="0"/>
            </w:tcBorders>
            <w:noWrap w:val="0"/>
            <w:vAlign w:val="center"/>
          </w:tcPr>
          <w:p w14:paraId="258A5B5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简要规格描述或标项基本概况介绍</w:t>
            </w:r>
          </w:p>
        </w:tc>
        <w:tc>
          <w:tcPr>
            <w:tcW w:w="1455" w:type="dxa"/>
            <w:tcBorders>
              <w:top w:val="single" w:color="auto" w:sz="4" w:space="0"/>
              <w:left w:val="nil"/>
              <w:bottom w:val="single" w:color="auto" w:sz="4" w:space="0"/>
              <w:right w:val="single" w:color="auto" w:sz="4" w:space="0"/>
            </w:tcBorders>
            <w:noWrap w:val="0"/>
            <w:vAlign w:val="center"/>
          </w:tcPr>
          <w:p w14:paraId="0AE2AD2D">
            <w:pPr>
              <w:widowControl/>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投标结算率上限（%）</w:t>
            </w:r>
          </w:p>
        </w:tc>
        <w:tc>
          <w:tcPr>
            <w:tcW w:w="795" w:type="dxa"/>
            <w:tcBorders>
              <w:top w:val="single" w:color="auto" w:sz="4" w:space="0"/>
              <w:left w:val="nil"/>
              <w:bottom w:val="single" w:color="auto" w:sz="4" w:space="0"/>
              <w:right w:val="single" w:color="auto" w:sz="4" w:space="0"/>
            </w:tcBorders>
            <w:noWrap w:val="0"/>
            <w:vAlign w:val="center"/>
          </w:tcPr>
          <w:p w14:paraId="13CF790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900" w:type="dxa"/>
            <w:tcBorders>
              <w:top w:val="single" w:color="auto" w:sz="4" w:space="0"/>
              <w:left w:val="nil"/>
              <w:bottom w:val="single" w:color="auto" w:sz="4" w:space="0"/>
              <w:right w:val="single" w:color="auto" w:sz="4" w:space="0"/>
            </w:tcBorders>
            <w:noWrap w:val="0"/>
            <w:vAlign w:val="center"/>
          </w:tcPr>
          <w:p w14:paraId="0383E35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r>
      <w:tr w14:paraId="68994554">
        <w:tblPrEx>
          <w:tblCellMar>
            <w:top w:w="0" w:type="dxa"/>
            <w:left w:w="108" w:type="dxa"/>
            <w:bottom w:w="0" w:type="dxa"/>
            <w:right w:w="108" w:type="dxa"/>
          </w:tblCellMar>
        </w:tblPrEx>
        <w:trPr>
          <w:trHeight w:val="860" w:hRule="atLeast"/>
        </w:trPr>
        <w:tc>
          <w:tcPr>
            <w:tcW w:w="851" w:type="dxa"/>
            <w:tcBorders>
              <w:top w:val="nil"/>
              <w:left w:val="single" w:color="auto" w:sz="4" w:space="0"/>
              <w:bottom w:val="single" w:color="auto" w:sz="4" w:space="0"/>
              <w:right w:val="single" w:color="auto" w:sz="4" w:space="0"/>
            </w:tcBorders>
            <w:noWrap w:val="0"/>
            <w:vAlign w:val="center"/>
          </w:tcPr>
          <w:p w14:paraId="74F54C9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52" w:type="dxa"/>
            <w:tcBorders>
              <w:top w:val="nil"/>
              <w:left w:val="nil"/>
              <w:bottom w:val="single" w:color="auto" w:sz="4" w:space="0"/>
              <w:right w:val="single" w:color="auto" w:sz="4" w:space="0"/>
            </w:tcBorders>
            <w:noWrap w:val="0"/>
            <w:vAlign w:val="center"/>
          </w:tcPr>
          <w:p w14:paraId="23BF0E3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台州国际博览中心水电气接驳（含维保）服务商采购项目</w:t>
            </w:r>
          </w:p>
        </w:tc>
        <w:tc>
          <w:tcPr>
            <w:tcW w:w="3300" w:type="dxa"/>
            <w:tcBorders>
              <w:top w:val="nil"/>
              <w:left w:val="nil"/>
              <w:bottom w:val="single" w:color="auto" w:sz="4" w:space="0"/>
              <w:right w:val="single" w:color="auto" w:sz="4" w:space="0"/>
            </w:tcBorders>
            <w:noWrap w:val="0"/>
            <w:vAlign w:val="center"/>
          </w:tcPr>
          <w:p w14:paraId="5DA72A43">
            <w:pPr>
              <w:widowControl/>
              <w:jc w:val="center"/>
              <w:rPr>
                <w:rFonts w:ascii="宋体" w:hAnsi="宋体" w:cs="宋体"/>
                <w:color w:val="auto"/>
                <w:kern w:val="0"/>
                <w:sz w:val="24"/>
                <w:highlight w:val="none"/>
              </w:rPr>
            </w:pPr>
            <w:bookmarkStart w:id="1" w:name="OLE_LINK2"/>
            <w:r>
              <w:rPr>
                <w:rFonts w:hint="eastAsia" w:ascii="宋体" w:hAnsi="宋体" w:cs="宋体"/>
                <w:color w:val="auto"/>
                <w:kern w:val="0"/>
                <w:sz w:val="24"/>
                <w:highlight w:val="none"/>
                <w:lang w:eastAsia="zh-CN"/>
              </w:rPr>
              <w:t>作</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台州国际博览中心</w:t>
            </w:r>
            <w:r>
              <w:rPr>
                <w:rFonts w:hint="eastAsia" w:ascii="宋体" w:hAnsi="宋体" w:cs="宋体"/>
                <w:color w:val="auto"/>
                <w:kern w:val="0"/>
                <w:sz w:val="24"/>
                <w:highlight w:val="none"/>
              </w:rPr>
              <w:t>的水、电、气接驳服务提供商，展会</w:t>
            </w:r>
            <w:r>
              <w:rPr>
                <w:rFonts w:hint="eastAsia" w:ascii="宋体" w:hAnsi="宋体" w:cs="宋体"/>
                <w:color w:val="auto"/>
                <w:kern w:val="0"/>
                <w:sz w:val="24"/>
                <w:highlight w:val="none"/>
                <w:lang w:eastAsia="zh-CN"/>
              </w:rPr>
              <w:t>期间为</w:t>
            </w:r>
            <w:r>
              <w:rPr>
                <w:rFonts w:hint="eastAsia" w:ascii="宋体" w:hAnsi="宋体" w:cs="宋体"/>
                <w:color w:val="auto"/>
                <w:kern w:val="0"/>
                <w:sz w:val="24"/>
                <w:highlight w:val="none"/>
                <w:lang w:val="en-US" w:eastAsia="zh-CN"/>
              </w:rPr>
              <w:t>台州国际博览中心</w:t>
            </w:r>
            <w:r>
              <w:rPr>
                <w:rFonts w:hint="eastAsia" w:ascii="宋体" w:hAnsi="宋体" w:cs="宋体"/>
                <w:color w:val="auto"/>
                <w:kern w:val="0"/>
                <w:sz w:val="24"/>
                <w:highlight w:val="none"/>
              </w:rPr>
              <w:t>提供所需的水、电、气设备设施接驳服务</w:t>
            </w:r>
            <w:r>
              <w:rPr>
                <w:rFonts w:hint="eastAsia" w:ascii="宋体" w:hAnsi="宋体" w:cs="宋体"/>
                <w:color w:val="auto"/>
                <w:kern w:val="0"/>
                <w:sz w:val="24"/>
                <w:highlight w:val="none"/>
                <w:lang w:eastAsia="zh-CN"/>
              </w:rPr>
              <w:t>，日常</w:t>
            </w:r>
            <w:r>
              <w:rPr>
                <w:rFonts w:hint="eastAsia" w:ascii="宋体" w:hAnsi="宋体" w:cs="宋体"/>
                <w:color w:val="auto"/>
                <w:kern w:val="0"/>
                <w:sz w:val="24"/>
                <w:highlight w:val="none"/>
              </w:rPr>
              <w:t>维护及管理。具体要求详见</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需求</w:t>
            </w:r>
            <w:bookmarkEnd w:id="1"/>
          </w:p>
        </w:tc>
        <w:tc>
          <w:tcPr>
            <w:tcW w:w="1455" w:type="dxa"/>
            <w:tcBorders>
              <w:top w:val="nil"/>
              <w:left w:val="nil"/>
              <w:bottom w:val="single" w:color="auto" w:sz="4" w:space="0"/>
              <w:right w:val="single" w:color="auto" w:sz="4" w:space="0"/>
            </w:tcBorders>
            <w:noWrap w:val="0"/>
            <w:vAlign w:val="center"/>
          </w:tcPr>
          <w:p w14:paraId="7EAAE9DF">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40</w:t>
            </w:r>
          </w:p>
        </w:tc>
        <w:tc>
          <w:tcPr>
            <w:tcW w:w="795" w:type="dxa"/>
            <w:tcBorders>
              <w:top w:val="nil"/>
              <w:left w:val="nil"/>
              <w:bottom w:val="single" w:color="auto" w:sz="4" w:space="0"/>
              <w:right w:val="single" w:color="auto" w:sz="4" w:space="0"/>
            </w:tcBorders>
            <w:noWrap w:val="0"/>
            <w:vAlign w:val="center"/>
          </w:tcPr>
          <w:p w14:paraId="279A075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项</w:t>
            </w:r>
          </w:p>
        </w:tc>
        <w:tc>
          <w:tcPr>
            <w:tcW w:w="900" w:type="dxa"/>
            <w:tcBorders>
              <w:top w:val="nil"/>
              <w:left w:val="nil"/>
              <w:bottom w:val="single" w:color="auto" w:sz="4" w:space="0"/>
              <w:right w:val="single" w:color="auto" w:sz="4" w:space="0"/>
            </w:tcBorders>
            <w:noWrap w:val="0"/>
            <w:vAlign w:val="center"/>
          </w:tcPr>
          <w:p w14:paraId="13AD76C3">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r>
    </w:tbl>
    <w:p w14:paraId="3AE3DDDE">
      <w:pPr>
        <w:numPr>
          <w:ilvl w:val="0"/>
          <w:numId w:val="0"/>
        </w:numPr>
        <w:snapToGrid w:val="0"/>
        <w:spacing w:line="336"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sz w:val="24"/>
          <w:highlight w:val="none"/>
        </w:rPr>
        <w:t>合格投标人的资格要求</w:t>
      </w:r>
    </w:p>
    <w:p w14:paraId="0A09B365">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具有独立法人资格，且具备提供本项目</w:t>
      </w:r>
      <w:r>
        <w:rPr>
          <w:rFonts w:hint="eastAsia" w:ascii="宋体" w:hAnsi="宋体" w:cs="宋体"/>
          <w:color w:val="auto"/>
          <w:sz w:val="24"/>
          <w:highlight w:val="none"/>
          <w:lang w:val="en-US" w:eastAsia="zh-CN"/>
        </w:rPr>
        <w:t>服务能力</w:t>
      </w:r>
      <w:r>
        <w:rPr>
          <w:rFonts w:hint="eastAsia" w:ascii="宋体" w:hAnsi="宋体" w:eastAsia="宋体" w:cs="宋体"/>
          <w:color w:val="auto"/>
          <w:sz w:val="24"/>
          <w:highlight w:val="none"/>
          <w:lang w:val="en-US" w:eastAsia="zh-CN"/>
        </w:rPr>
        <w:t>的投标人</w:t>
      </w:r>
      <w:r>
        <w:rPr>
          <w:rFonts w:hint="eastAsia" w:ascii="宋体" w:hAnsi="宋体" w:cs="宋体"/>
          <w:color w:val="auto"/>
          <w:sz w:val="24"/>
          <w:highlight w:val="none"/>
          <w:lang w:val="en-US" w:eastAsia="zh-CN"/>
        </w:rPr>
        <w:t>；</w:t>
      </w:r>
    </w:p>
    <w:p w14:paraId="46AE389C">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Arial"/>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Arial"/>
          <w:color w:val="auto"/>
          <w:sz w:val="24"/>
          <w:highlight w:val="none"/>
        </w:rPr>
        <w:t>自20</w:t>
      </w:r>
      <w:r>
        <w:rPr>
          <w:rFonts w:hint="eastAsia" w:ascii="宋体" w:hAnsi="宋体" w:cs="Arial"/>
          <w:color w:val="auto"/>
          <w:sz w:val="24"/>
          <w:highlight w:val="none"/>
          <w:lang w:val="en-US" w:eastAsia="zh-CN"/>
        </w:rPr>
        <w:t>20</w:t>
      </w:r>
      <w:r>
        <w:rPr>
          <w:rFonts w:hint="eastAsia" w:ascii="宋体" w:hAnsi="宋体" w:cs="Arial"/>
          <w:color w:val="auto"/>
          <w:sz w:val="24"/>
          <w:highlight w:val="none"/>
        </w:rPr>
        <w:t>年1月1日</w:t>
      </w:r>
      <w:r>
        <w:rPr>
          <w:rFonts w:hint="eastAsia" w:ascii="宋体" w:hAnsi="宋体" w:cs="Arial"/>
          <w:color w:val="auto"/>
          <w:sz w:val="24"/>
          <w:highlight w:val="none"/>
          <w:lang w:eastAsia="zh-CN"/>
        </w:rPr>
        <w:t>（以合同签订时间为准）</w:t>
      </w:r>
      <w:r>
        <w:rPr>
          <w:rFonts w:hint="eastAsia" w:ascii="宋体" w:hAnsi="宋体" w:cs="Arial"/>
          <w:color w:val="auto"/>
          <w:sz w:val="24"/>
          <w:highlight w:val="none"/>
        </w:rPr>
        <w:t>以来承接过单个合同金额不少于</w:t>
      </w:r>
      <w:r>
        <w:rPr>
          <w:rFonts w:hint="eastAsia" w:ascii="宋体" w:hAnsi="宋体" w:cs="Arial"/>
          <w:color w:val="auto"/>
          <w:sz w:val="24"/>
          <w:highlight w:val="none"/>
          <w:lang w:val="en-US" w:eastAsia="zh-CN"/>
        </w:rPr>
        <w:t>30</w:t>
      </w:r>
      <w:r>
        <w:rPr>
          <w:rFonts w:hint="eastAsia" w:ascii="宋体" w:hAnsi="宋体" w:cs="Arial"/>
          <w:color w:val="auto"/>
          <w:sz w:val="24"/>
          <w:highlight w:val="none"/>
        </w:rPr>
        <w:t>万元</w:t>
      </w:r>
      <w:r>
        <w:rPr>
          <w:rFonts w:hint="eastAsia" w:ascii="宋体" w:hAnsi="宋体" w:cs="Arial"/>
          <w:color w:val="auto"/>
          <w:sz w:val="24"/>
          <w:highlight w:val="none"/>
          <w:lang w:eastAsia="zh-CN"/>
        </w:rPr>
        <w:t>的</w:t>
      </w:r>
      <w:r>
        <w:rPr>
          <w:rFonts w:hint="eastAsia" w:ascii="宋体" w:hAnsi="宋体" w:cs="Arial"/>
          <w:color w:val="auto"/>
          <w:sz w:val="24"/>
          <w:highlight w:val="none"/>
        </w:rPr>
        <w:t>类似本项目采购内容的水电气接驳服务项目业绩</w:t>
      </w:r>
      <w:r>
        <w:rPr>
          <w:rFonts w:hint="eastAsia" w:ascii="宋体" w:hAnsi="宋体" w:cs="Arial"/>
          <w:color w:val="auto"/>
          <w:sz w:val="24"/>
          <w:highlight w:val="none"/>
          <w:lang w:eastAsia="zh-CN"/>
        </w:rPr>
        <w:t>；</w:t>
      </w:r>
    </w:p>
    <w:p w14:paraId="424F88E8">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3</w:t>
      </w:r>
      <w:r>
        <w:rPr>
          <w:rFonts w:hint="eastAsia" w:ascii="宋体" w:hAnsi="宋体" w:eastAsia="宋体" w:cs="Arial"/>
          <w:color w:val="auto"/>
          <w:sz w:val="24"/>
          <w:highlight w:val="none"/>
        </w:rPr>
        <w:t>、本项目不接受联合体投标。</w:t>
      </w:r>
    </w:p>
    <w:p w14:paraId="51E381B2">
      <w:pPr>
        <w:numPr>
          <w:ilvl w:val="0"/>
          <w:numId w:val="0"/>
        </w:numPr>
        <w:spacing w:line="360" w:lineRule="auto"/>
        <w:ind w:firstLine="482" w:firstLineChars="200"/>
        <w:rPr>
          <w:rFonts w:ascii="宋体" w:hAnsi="宋体" w:cs="Arial"/>
          <w:color w:val="000000"/>
          <w:sz w:val="24"/>
          <w:highlight w:val="none"/>
        </w:rPr>
      </w:pPr>
      <w:r>
        <w:rPr>
          <w:rFonts w:hint="eastAsia" w:ascii="宋体" w:hAnsi="宋体" w:cs="Arial"/>
          <w:b/>
          <w:bCs/>
          <w:color w:val="000000"/>
          <w:sz w:val="24"/>
          <w:highlight w:val="none"/>
          <w:lang w:val="en-US" w:eastAsia="zh-CN"/>
        </w:rPr>
        <w:t>四</w:t>
      </w:r>
      <w:r>
        <w:rPr>
          <w:rFonts w:hint="eastAsia" w:ascii="宋体" w:hAnsi="宋体" w:cs="Arial"/>
          <w:b/>
          <w:bCs/>
          <w:color w:val="000000"/>
          <w:sz w:val="24"/>
          <w:highlight w:val="none"/>
        </w:rPr>
        <w:t>、招标文件的获取</w:t>
      </w:r>
      <w:r>
        <w:rPr>
          <w:rFonts w:hint="eastAsia" w:ascii="宋体" w:hAnsi="宋体" w:cs="Arial"/>
          <w:color w:val="000000"/>
          <w:sz w:val="24"/>
          <w:highlight w:val="none"/>
        </w:rPr>
        <w:t>：</w:t>
      </w:r>
    </w:p>
    <w:p w14:paraId="4A5CDBB5">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本次招标文件的获取由各投标人自行到台州市阳光采购平台网上投标系统（https://www.tzygcg.com/DashBoard）下载获取。请各投标人密切关注台州市阳光采购平台</w:t>
      </w:r>
      <w:r>
        <w:rPr>
          <w:rFonts w:hint="eastAsia" w:ascii="宋体" w:hAnsi="宋体" w:cs="Arial"/>
          <w:color w:val="auto"/>
          <w:sz w:val="24"/>
          <w:highlight w:val="none"/>
          <w:lang w:val="en-US" w:eastAsia="zh-CN"/>
        </w:rPr>
        <w:t>网站</w:t>
      </w:r>
      <w:r>
        <w:rPr>
          <w:rFonts w:hint="eastAsia" w:ascii="宋体" w:hAnsi="宋体" w:cs="Arial"/>
          <w:color w:val="auto"/>
          <w:sz w:val="24"/>
          <w:highlight w:val="none"/>
        </w:rPr>
        <w:t>对本项目的答疑和澄清，由于投标人未及时了解答疑和澄清造成的后果</w:t>
      </w:r>
      <w:r>
        <w:rPr>
          <w:rFonts w:hint="eastAsia" w:ascii="宋体" w:hAnsi="宋体" w:cs="Arial"/>
          <w:color w:val="auto"/>
          <w:sz w:val="24"/>
          <w:highlight w:val="none"/>
          <w:lang w:eastAsia="zh-CN"/>
        </w:rPr>
        <w:t>，招标人</w:t>
      </w:r>
      <w:r>
        <w:rPr>
          <w:rFonts w:hint="eastAsia" w:ascii="宋体" w:hAnsi="宋体" w:cs="Arial"/>
          <w:color w:val="auto"/>
          <w:sz w:val="24"/>
          <w:highlight w:val="none"/>
        </w:rPr>
        <w:t>、招标代理概不负责。</w:t>
      </w:r>
    </w:p>
    <w:p w14:paraId="7D37F5F3">
      <w:pPr>
        <w:snapToGrid w:val="0"/>
        <w:spacing w:line="360" w:lineRule="auto"/>
        <w:ind w:firstLine="241" w:firstLineChars="100"/>
        <w:rPr>
          <w:rFonts w:ascii="宋体" w:hAnsi="宋体" w:cs="Arial"/>
          <w:color w:val="auto"/>
          <w:sz w:val="24"/>
          <w:szCs w:val="20"/>
          <w:highlight w:val="none"/>
        </w:rPr>
      </w:pPr>
      <w:r>
        <w:rPr>
          <w:rFonts w:hint="eastAsia" w:ascii="宋体" w:hAnsi="宋体" w:cs="Arial"/>
          <w:b/>
          <w:bCs/>
          <w:color w:val="auto"/>
          <w:sz w:val="24"/>
          <w:highlight w:val="none"/>
        </w:rPr>
        <w:t xml:space="preserve">  </w:t>
      </w: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、投标截止时间和地点</w:t>
      </w:r>
      <w:r>
        <w:rPr>
          <w:rFonts w:hint="eastAsia" w:ascii="宋体" w:hAnsi="宋体" w:cs="Arial"/>
          <w:color w:val="auto"/>
          <w:sz w:val="24"/>
          <w:highlight w:val="none"/>
        </w:rPr>
        <w:t>：</w:t>
      </w:r>
    </w:p>
    <w:p w14:paraId="2436F385">
      <w:pPr>
        <w:pStyle w:val="90"/>
        <w:tabs>
          <w:tab w:val="left" w:pos="567"/>
        </w:tabs>
        <w:adjustRightInd w:val="0"/>
        <w:snapToGrid w:val="0"/>
        <w:spacing w:line="348" w:lineRule="auto"/>
        <w:ind w:left="0" w:leftChars="0" w:firstLine="480" w:firstLineChars="20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1.递交截止时间：2025年    月    日09时</w:t>
      </w:r>
      <w:r>
        <w:rPr>
          <w:rFonts w:hint="eastAsia" w:ascii="宋体" w:hAnsi="宋体" w:cs="Arial"/>
          <w:color w:val="auto"/>
          <w:kern w:val="2"/>
          <w:sz w:val="24"/>
          <w:szCs w:val="24"/>
          <w:highlight w:val="none"/>
          <w:lang w:val="en-US" w:eastAsia="zh-CN" w:bidi="ar-SA"/>
        </w:rPr>
        <w:t>00</w:t>
      </w:r>
      <w:r>
        <w:rPr>
          <w:rFonts w:hint="eastAsia" w:ascii="宋体" w:hAnsi="宋体" w:eastAsia="宋体" w:cs="Arial"/>
          <w:color w:val="auto"/>
          <w:kern w:val="2"/>
          <w:sz w:val="24"/>
          <w:szCs w:val="24"/>
          <w:highlight w:val="none"/>
          <w:lang w:val="en-US" w:eastAsia="zh-CN" w:bidi="ar-SA"/>
        </w:rPr>
        <w:t>分（北京时间）</w:t>
      </w:r>
    </w:p>
    <w:p w14:paraId="1C13B6AF">
      <w:pPr>
        <w:pStyle w:val="90"/>
        <w:tabs>
          <w:tab w:val="left" w:pos="567"/>
        </w:tabs>
        <w:adjustRightInd w:val="0"/>
        <w:snapToGrid w:val="0"/>
        <w:spacing w:line="348" w:lineRule="auto"/>
        <w:ind w:left="0" w:leftChars="0" w:firstLine="480" w:firstLineChars="20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2.电子投标文件的递交：</w:t>
      </w:r>
    </w:p>
    <w:p w14:paraId="33009757">
      <w:pPr>
        <w:spacing w:line="300" w:lineRule="auto"/>
        <w:ind w:firstLine="480" w:firstLineChars="20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1) 台州市阳光采购平台（网址：https://www.tzygcg.com/DashBoard）；</w:t>
      </w:r>
    </w:p>
    <w:p w14:paraId="57EEECB3">
      <w:pPr>
        <w:spacing w:line="300" w:lineRule="auto"/>
        <w:ind w:firstLine="480" w:firstLineChars="20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 投标人应提前办好ca锁（办理网址：https://www.tzygcg.com/DashBoard），绑定平台账户。</w:t>
      </w:r>
    </w:p>
    <w:p w14:paraId="0E65FCA8">
      <w:pPr>
        <w:pStyle w:val="169"/>
        <w:ind w:firstLine="480" w:firstLineChars="20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3.电子投标文件未在投标文件递交截止时间前递交至台州市阳光采购平台将被拒绝，后果由各投标人自行承担。</w:t>
      </w:r>
    </w:p>
    <w:p w14:paraId="46E6788C">
      <w:pPr>
        <w:keepNext w:val="0"/>
        <w:keepLines w:val="0"/>
        <w:pageBreakBefore w:val="0"/>
        <w:widowControl w:val="0"/>
        <w:numPr>
          <w:ilvl w:val="0"/>
          <w:numId w:val="0"/>
        </w:numPr>
        <w:kinsoku/>
        <w:wordWrap/>
        <w:overflowPunct/>
        <w:topLinePunct w:val="0"/>
        <w:bidi w:val="0"/>
        <w:snapToGrid w:val="0"/>
        <w:spacing w:line="360" w:lineRule="auto"/>
        <w:ind w:left="494" w:leftChars="0"/>
        <w:textAlignment w:val="auto"/>
        <w:rPr>
          <w:rFonts w:hint="eastAsia" w:ascii="宋体" w:hAnsi="宋体" w:cs="Arial"/>
          <w:color w:val="auto"/>
          <w:sz w:val="24"/>
          <w:highlight w:val="none"/>
        </w:rPr>
      </w:pPr>
      <w:r>
        <w:rPr>
          <w:rFonts w:hint="eastAsia" w:ascii="宋体" w:hAnsi="宋体" w:cs="Arial"/>
          <w:b/>
          <w:bCs/>
          <w:color w:val="auto"/>
          <w:sz w:val="24"/>
          <w:highlight w:val="none"/>
          <w:lang w:val="en-US" w:eastAsia="zh-CN"/>
        </w:rPr>
        <w:t>六、</w:t>
      </w:r>
      <w:r>
        <w:rPr>
          <w:rFonts w:hint="eastAsia" w:ascii="宋体" w:hAnsi="宋体" w:cs="Arial"/>
          <w:b/>
          <w:bCs/>
          <w:color w:val="auto"/>
          <w:sz w:val="24"/>
          <w:highlight w:val="none"/>
        </w:rPr>
        <w:t>开标时间</w:t>
      </w:r>
      <w:r>
        <w:rPr>
          <w:rFonts w:hint="eastAsia" w:ascii="宋体" w:hAnsi="宋体" w:cs="Arial"/>
          <w:color w:val="auto"/>
          <w:sz w:val="24"/>
          <w:highlight w:val="none"/>
        </w:rPr>
        <w:t>：</w:t>
      </w:r>
      <w:r>
        <w:rPr>
          <w:rFonts w:hint="eastAsia" w:ascii="宋体" w:hAnsi="宋体" w:cs="Arial"/>
          <w:color w:val="auto"/>
          <w:sz w:val="24"/>
          <w:highlight w:val="none"/>
          <w:u w:val="single"/>
          <w:lang w:val="en-US" w:eastAsia="zh-CN"/>
        </w:rPr>
        <w:t>同投标截止时间</w:t>
      </w:r>
      <w:r>
        <w:rPr>
          <w:rFonts w:hint="eastAsia" w:ascii="宋体" w:hAnsi="宋体" w:cs="Arial"/>
          <w:color w:val="auto"/>
          <w:sz w:val="24"/>
          <w:highlight w:val="none"/>
        </w:rPr>
        <w:t>。</w:t>
      </w:r>
    </w:p>
    <w:p w14:paraId="1ABC4A4D">
      <w:pPr>
        <w:pStyle w:val="22"/>
        <w:keepNext w:val="0"/>
        <w:keepLines w:val="0"/>
        <w:pageBreakBefore w:val="0"/>
        <w:widowControl w:val="0"/>
        <w:numPr>
          <w:ilvl w:val="0"/>
          <w:numId w:val="0"/>
        </w:numPr>
        <w:kinsoku/>
        <w:wordWrap/>
        <w:overflowPunct/>
        <w:topLinePunct w:val="0"/>
        <w:bidi w:val="0"/>
        <w:spacing w:line="360" w:lineRule="auto"/>
        <w:ind w:firstLine="482" w:firstLineChars="200"/>
        <w:textAlignment w:val="auto"/>
        <w:rPr>
          <w:rFonts w:hint="eastAsia" w:ascii="宋体" w:hAnsi="宋体" w:eastAsia="宋体" w:cs="Arial"/>
          <w:color w:val="auto"/>
          <w:sz w:val="24"/>
          <w:highlight w:val="none"/>
        </w:rPr>
      </w:pP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、开标地点</w:t>
      </w:r>
      <w:r>
        <w:rPr>
          <w:rFonts w:hint="eastAsia" w:ascii="宋体" w:hAnsi="宋体" w:cs="Arial"/>
          <w:color w:val="auto"/>
          <w:sz w:val="24"/>
          <w:highlight w:val="none"/>
        </w:rPr>
        <w:t>：</w:t>
      </w:r>
      <w:r>
        <w:rPr>
          <w:rFonts w:hint="eastAsia" w:ascii="宋体" w:hAnsi="宋体" w:eastAsia="宋体" w:cs="Arial"/>
          <w:color w:val="auto"/>
          <w:sz w:val="24"/>
          <w:szCs w:val="24"/>
          <w:highlight w:val="none"/>
        </w:rPr>
        <w:t>本项目开评标环节实行全流程电子化，投标人可自行登录不见面开标大厅</w:t>
      </w:r>
      <w:r>
        <w:rPr>
          <w:rFonts w:hint="eastAsia" w:ascii="宋体" w:hAnsi="宋体" w:eastAsia="宋体" w:cs="Arial"/>
          <w:color w:val="auto"/>
          <w:sz w:val="24"/>
          <w:szCs w:val="24"/>
          <w:highlight w:val="none"/>
          <w:lang w:val="en-US" w:eastAsia="zh-CN"/>
        </w:rPr>
        <w:t>观看。</w:t>
      </w:r>
      <w:r>
        <w:rPr>
          <w:rFonts w:hint="eastAsia" w:ascii="宋体" w:hAnsi="宋体" w:eastAsia="宋体" w:cs="Arial"/>
          <w:color w:val="auto"/>
          <w:sz w:val="24"/>
          <w:szCs w:val="24"/>
          <w:highlight w:val="none"/>
        </w:rPr>
        <w:t>（https://www.tzygcg.com/live/）</w:t>
      </w:r>
    </w:p>
    <w:p w14:paraId="22B7C89E">
      <w:pPr>
        <w:snapToGrid w:val="0"/>
        <w:spacing w:line="336" w:lineRule="auto"/>
        <w:ind w:firstLine="542" w:firstLineChars="225"/>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、投标保证金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无</w:t>
      </w:r>
    </w:p>
    <w:p w14:paraId="6F7FB668">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w:t>
      </w:r>
      <w:r>
        <w:rPr>
          <w:rFonts w:hint="eastAsia" w:ascii="宋体" w:hAnsi="宋体" w:cs="宋体"/>
          <w:b/>
          <w:bCs/>
          <w:color w:val="auto"/>
          <w:sz w:val="24"/>
          <w:highlight w:val="none"/>
        </w:rPr>
        <w:t>公告、公示媒体：</w:t>
      </w:r>
    </w:p>
    <w:p w14:paraId="3B9A965F">
      <w:pPr>
        <w:snapToGrid w:val="0"/>
        <w:spacing w:line="360" w:lineRule="auto"/>
        <w:ind w:firstLine="480" w:firstLineChars="200"/>
        <w:rPr>
          <w:rFonts w:hint="eastAsia"/>
          <w:highlight w:val="none"/>
        </w:rPr>
      </w:pPr>
      <w:r>
        <w:rPr>
          <w:rFonts w:hint="eastAsia" w:ascii="宋体" w:hAnsi="宋体" w:cs="宋体"/>
          <w:sz w:val="24"/>
          <w:highlight w:val="none"/>
        </w:rPr>
        <w:t>公告网址：本次招标公告同时在台州市阳光采购平台（https://tzygcg.com/）、台州市公共资源交易网(https://tzztb.zjtz.gov.cn)、台州市产权交易网（http://www.tzpre.com） 上发布。</w:t>
      </w:r>
    </w:p>
    <w:p w14:paraId="2DA54D3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Arial"/>
          <w:b/>
          <w:color w:val="000000"/>
          <w:sz w:val="24"/>
          <w:szCs w:val="20"/>
          <w:highlight w:val="none"/>
        </w:rPr>
      </w:pPr>
      <w:r>
        <w:rPr>
          <w:rFonts w:hint="eastAsia" w:ascii="宋体" w:hAnsi="宋体" w:cs="Arial"/>
          <w:b/>
          <w:color w:val="000000"/>
          <w:sz w:val="24"/>
          <w:highlight w:val="none"/>
          <w:lang w:val="en-US" w:eastAsia="zh-CN"/>
        </w:rPr>
        <w:t>十</w:t>
      </w:r>
      <w:r>
        <w:rPr>
          <w:rFonts w:hint="eastAsia" w:ascii="宋体" w:hAnsi="宋体" w:cs="Arial"/>
          <w:b/>
          <w:color w:val="000000"/>
          <w:sz w:val="24"/>
          <w:highlight w:val="none"/>
        </w:rPr>
        <w:t>、</w:t>
      </w:r>
      <w:r>
        <w:rPr>
          <w:rFonts w:hint="eastAsia" w:ascii="宋体" w:hAnsi="宋体" w:cs="Arial"/>
          <w:b/>
          <w:color w:val="auto"/>
          <w:sz w:val="24"/>
          <w:highlight w:val="none"/>
        </w:rPr>
        <w:t>联系方式：</w:t>
      </w:r>
    </w:p>
    <w:p w14:paraId="724AB037">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（一）</w:t>
      </w:r>
      <w:r>
        <w:rPr>
          <w:rFonts w:hint="eastAsia" w:ascii="宋体" w:hAnsi="宋体" w:eastAsia="宋体" w:cs="宋体"/>
          <w:b/>
          <w:bCs/>
          <w:sz w:val="24"/>
          <w:highlight w:val="none"/>
          <w:lang w:eastAsia="zh-CN"/>
        </w:rPr>
        <w:t>招标人</w:t>
      </w:r>
      <w:r>
        <w:rPr>
          <w:rFonts w:hint="eastAsia" w:ascii="宋体" w:hAnsi="宋体" w:eastAsia="宋体" w:cs="宋体"/>
          <w:b/>
          <w:bCs/>
          <w:sz w:val="24"/>
          <w:highlight w:val="none"/>
        </w:rPr>
        <w:t xml:space="preserve">（受理招标文件相关质疑及答复） </w:t>
      </w:r>
    </w:p>
    <w:p w14:paraId="687A4481">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名称</w:t>
      </w:r>
      <w:r>
        <w:rPr>
          <w:rFonts w:hint="eastAsia" w:ascii="宋体" w:hAnsi="宋体" w:eastAsia="宋体" w:cs="宋体"/>
          <w:sz w:val="24"/>
          <w:highlight w:val="none"/>
          <w:lang w:eastAsia="zh-CN"/>
        </w:rPr>
        <w:t>：</w:t>
      </w:r>
      <w:r>
        <w:rPr>
          <w:rFonts w:hint="eastAsia" w:ascii="宋体" w:hAnsi="宋体" w:eastAsia="宋体" w:cs="宋体"/>
          <w:sz w:val="24"/>
          <w:highlight w:val="none"/>
          <w:u w:val="single"/>
          <w:lang w:eastAsia="zh-CN"/>
        </w:rPr>
        <w:t xml:space="preserve">浙江台博会展有限公司 </w:t>
      </w:r>
      <w:r>
        <w:rPr>
          <w:rFonts w:hint="eastAsia" w:ascii="宋体" w:hAnsi="宋体" w:eastAsia="宋体" w:cs="宋体"/>
          <w:sz w:val="24"/>
          <w:highlight w:val="none"/>
          <w:lang w:eastAsia="zh-CN"/>
        </w:rPr>
        <w:t xml:space="preserve">   </w:t>
      </w:r>
    </w:p>
    <w:p w14:paraId="73C8DF98">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w:t>
      </w:r>
      <w:r>
        <w:rPr>
          <w:rFonts w:hint="eastAsia" w:ascii="宋体" w:hAnsi="宋体" w:cs="宋体"/>
          <w:sz w:val="24"/>
          <w:highlight w:val="none"/>
          <w:u w:val="single"/>
          <w:lang w:eastAsia="zh-CN"/>
        </w:rPr>
        <w:t>颜</w:t>
      </w:r>
      <w:r>
        <w:rPr>
          <w:rFonts w:hint="eastAsia" w:ascii="宋体" w:hAnsi="宋体" w:eastAsia="宋体" w:cs="宋体"/>
          <w:sz w:val="24"/>
          <w:highlight w:val="none"/>
          <w:u w:val="single"/>
          <w:lang w:eastAsia="zh-CN"/>
        </w:rPr>
        <w:t>先生</w:t>
      </w:r>
      <w:r>
        <w:rPr>
          <w:rFonts w:hint="eastAsia" w:ascii="宋体" w:hAnsi="宋体" w:eastAsia="宋体" w:cs="宋体"/>
          <w:sz w:val="24"/>
          <w:highlight w:val="none"/>
          <w:lang w:eastAsia="zh-CN"/>
        </w:rPr>
        <w:t xml:space="preserve">  </w:t>
      </w:r>
    </w:p>
    <w:p w14:paraId="66B36CEC">
      <w:pPr>
        <w:snapToGrid w:val="0"/>
        <w:spacing w:line="360" w:lineRule="auto"/>
        <w:ind w:firstLine="480" w:firstLineChars="200"/>
        <w:rPr>
          <w:rFonts w:hint="default" w:ascii="宋体" w:hAnsi="宋体" w:eastAsia="宋体" w:cs="宋体"/>
          <w:sz w:val="24"/>
          <w:highlight w:val="none"/>
          <w:lang w:val="en-US"/>
        </w:rPr>
      </w:pPr>
      <w:r>
        <w:rPr>
          <w:rFonts w:hint="eastAsia" w:ascii="宋体" w:hAnsi="宋体" w:eastAsia="宋体" w:cs="宋体"/>
          <w:sz w:val="24"/>
          <w:highlight w:val="none"/>
          <w:lang w:eastAsia="zh-CN"/>
        </w:rPr>
        <w:t>联系电话：</w:t>
      </w:r>
      <w:r>
        <w:rPr>
          <w:rFonts w:hint="eastAsia" w:ascii="宋体" w:hAnsi="宋体" w:eastAsia="宋体" w:cs="宋体"/>
          <w:sz w:val="24"/>
          <w:highlight w:val="none"/>
          <w:u w:val="single"/>
          <w:lang w:eastAsia="zh-CN"/>
        </w:rPr>
        <w:t>0576-8253</w:t>
      </w:r>
      <w:r>
        <w:rPr>
          <w:rFonts w:hint="eastAsia" w:ascii="宋体" w:hAnsi="宋体" w:cs="宋体"/>
          <w:sz w:val="24"/>
          <w:highlight w:val="none"/>
          <w:u w:val="single"/>
          <w:lang w:val="en-US" w:eastAsia="zh-CN"/>
        </w:rPr>
        <w:t>1009</w:t>
      </w:r>
    </w:p>
    <w:p w14:paraId="691F6ABD">
      <w:pPr>
        <w:snapToGrid w:val="0"/>
        <w:spacing w:line="360" w:lineRule="auto"/>
        <w:ind w:firstLine="482" w:firstLineChars="200"/>
        <w:rPr>
          <w:rFonts w:hint="default" w:ascii="宋体" w:hAnsi="宋体" w:eastAsia="宋体" w:cs="宋体"/>
          <w:b/>
          <w:bCs/>
          <w:sz w:val="24"/>
          <w:highlight w:val="none"/>
          <w:lang w:val="en-US" w:eastAsia="zh-CN"/>
        </w:rPr>
      </w:pPr>
      <w:r>
        <w:rPr>
          <w:rFonts w:hint="eastAsia" w:ascii="宋体" w:hAnsi="宋体" w:eastAsia="宋体" w:cs="宋体"/>
          <w:b/>
          <w:bCs/>
          <w:sz w:val="24"/>
          <w:highlight w:val="none"/>
        </w:rPr>
        <w:t>（二）</w:t>
      </w:r>
      <w:r>
        <w:rPr>
          <w:rFonts w:hint="eastAsia" w:ascii="宋体" w:hAnsi="宋体" w:eastAsia="宋体" w:cs="宋体"/>
          <w:b/>
          <w:bCs/>
          <w:sz w:val="24"/>
          <w:highlight w:val="none"/>
          <w:lang w:val="en-US" w:eastAsia="zh-CN"/>
        </w:rPr>
        <w:t>代理机构</w:t>
      </w:r>
    </w:p>
    <w:p w14:paraId="6B67486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名称</w:t>
      </w:r>
      <w:r>
        <w:rPr>
          <w:rFonts w:hint="eastAsia" w:ascii="宋体" w:hAnsi="宋体" w:eastAsia="宋体" w:cs="宋体"/>
          <w:sz w:val="24"/>
          <w:highlight w:val="none"/>
        </w:rPr>
        <w:t>：</w:t>
      </w:r>
      <w:r>
        <w:rPr>
          <w:rFonts w:hint="eastAsia" w:ascii="宋体" w:hAnsi="宋体" w:eastAsia="宋体" w:cs="宋体"/>
          <w:sz w:val="24"/>
          <w:highlight w:val="none"/>
          <w:u w:val="single"/>
          <w:lang w:eastAsia="zh-CN"/>
        </w:rPr>
        <w:t>台州市建设咨询有限公司</w:t>
      </w:r>
      <w:r>
        <w:rPr>
          <w:rFonts w:hint="eastAsia" w:ascii="宋体" w:hAnsi="宋体" w:eastAsia="宋体" w:cs="宋体"/>
          <w:sz w:val="24"/>
          <w:highlight w:val="none"/>
        </w:rPr>
        <w:t xml:space="preserve">       </w:t>
      </w:r>
    </w:p>
    <w:p w14:paraId="181A79C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single"/>
          <w:lang w:val="en-US" w:eastAsia="zh-CN"/>
        </w:rPr>
        <w:t>李广明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3FA99B0B">
      <w:pPr>
        <w:snapToGrid w:val="0"/>
        <w:spacing w:line="360" w:lineRule="auto"/>
        <w:ind w:firstLine="480" w:firstLineChars="200"/>
        <w:rPr>
          <w:rFonts w:hint="eastAsia" w:ascii="宋体" w:hAnsi="宋体" w:cs="宋体"/>
          <w:sz w:val="24"/>
          <w:highlight w:val="none"/>
          <w:u w:val="singl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u w:val="single"/>
          <w:lang w:eastAsia="zh-CN"/>
        </w:rPr>
        <w:t>0576-885177</w:t>
      </w:r>
      <w:r>
        <w:rPr>
          <w:rFonts w:hint="eastAsia" w:ascii="宋体" w:hAnsi="宋体" w:cs="宋体"/>
          <w:sz w:val="24"/>
          <w:highlight w:val="none"/>
          <w:u w:val="single"/>
          <w:lang w:val="en-US" w:eastAsia="zh-CN"/>
        </w:rPr>
        <w:t>91</w:t>
      </w:r>
    </w:p>
    <w:p w14:paraId="70B7B98F">
      <w:pPr>
        <w:snapToGrid w:val="0"/>
        <w:spacing w:line="360" w:lineRule="auto"/>
        <w:ind w:firstLine="480" w:firstLineChars="200"/>
        <w:rPr>
          <w:rFonts w:hint="eastAsia" w:ascii="宋体" w:hAnsi="宋体" w:cs="宋体"/>
          <w:color w:val="auto"/>
          <w:sz w:val="24"/>
          <w:highlight w:val="none"/>
          <w:u w:val="none"/>
        </w:rPr>
      </w:pPr>
      <w:r>
        <w:rPr>
          <w:rFonts w:hint="eastAsia" w:ascii="宋体" w:hAnsi="宋体" w:cs="宋体"/>
          <w:sz w:val="24"/>
          <w:highlight w:val="none"/>
          <w:u w:val="none"/>
          <w:lang w:val="en-US" w:eastAsia="zh-CN"/>
        </w:rPr>
        <w:t>地  址：</w:t>
      </w:r>
      <w:r>
        <w:rPr>
          <w:rFonts w:hint="eastAsia" w:ascii="宋体" w:hAnsi="宋体" w:cs="宋体"/>
          <w:sz w:val="24"/>
          <w:highlight w:val="none"/>
          <w:u w:val="single"/>
          <w:lang w:val="en-US" w:eastAsia="zh-CN"/>
        </w:rPr>
        <w:t>浙江省台州市市府大道507号台州国际商务广场1幢（北门）6楼</w:t>
      </w:r>
      <w:r>
        <w:rPr>
          <w:rFonts w:hint="eastAsia" w:ascii="宋体" w:hAnsi="宋体" w:cs="宋体"/>
          <w:color w:val="auto"/>
          <w:sz w:val="24"/>
          <w:highlight w:val="none"/>
          <w:u w:val="single"/>
        </w:rPr>
        <w:t xml:space="preserve"> </w:t>
      </w:r>
    </w:p>
    <w:p w14:paraId="53E9EFC4">
      <w:pPr>
        <w:snapToGrid w:val="0"/>
        <w:spacing w:line="336" w:lineRule="auto"/>
        <w:jc w:val="both"/>
        <w:rPr>
          <w:rFonts w:hint="eastAsia" w:ascii="宋体" w:hAnsi="宋体" w:cs="宋体"/>
          <w:color w:val="auto"/>
          <w:sz w:val="24"/>
          <w:highlight w:val="none"/>
        </w:rPr>
      </w:pPr>
    </w:p>
    <w:p w14:paraId="16619B9F">
      <w:pPr>
        <w:keepNext w:val="0"/>
        <w:keepLines w:val="0"/>
        <w:pageBreakBefore w:val="0"/>
        <w:widowControl w:val="0"/>
        <w:kinsoku/>
        <w:wordWrap/>
        <w:overflowPunct/>
        <w:topLinePunct w:val="0"/>
        <w:autoSpaceDE/>
        <w:autoSpaceDN/>
        <w:bidi w:val="0"/>
        <w:adjustRightInd/>
        <w:snapToGrid w:val="0"/>
        <w:spacing w:line="360" w:lineRule="auto"/>
        <w:ind w:left="238"/>
        <w:jc w:val="right"/>
        <w:textAlignment w:val="auto"/>
        <w:rPr>
          <w:rFonts w:ascii="宋体" w:hAnsi="宋体"/>
          <w:color w:val="000000"/>
          <w:sz w:val="24"/>
          <w:highlight w:val="none"/>
        </w:rPr>
      </w:pPr>
      <w:r>
        <w:rPr>
          <w:rFonts w:hint="eastAsia" w:ascii="宋体" w:hAnsi="宋体"/>
          <w:color w:val="000000"/>
          <w:sz w:val="24"/>
          <w:highlight w:val="none"/>
          <w:lang w:eastAsia="zh-CN"/>
        </w:rPr>
        <w:t>浙江台博会展</w:t>
      </w:r>
      <w:r>
        <w:rPr>
          <w:rFonts w:hint="eastAsia" w:ascii="宋体" w:hAnsi="宋体"/>
          <w:color w:val="000000"/>
          <w:sz w:val="24"/>
          <w:highlight w:val="none"/>
        </w:rPr>
        <w:t xml:space="preserve">有限公司 </w:t>
      </w:r>
    </w:p>
    <w:p w14:paraId="25BAE0E3">
      <w:pPr>
        <w:snapToGrid w:val="0"/>
        <w:spacing w:line="336" w:lineRule="auto"/>
        <w:ind w:firstLine="6396" w:firstLineChars="2665"/>
        <w:jc w:val="right"/>
        <w:rPr>
          <w:rFonts w:hint="eastAsia" w:ascii="宋体" w:hAnsi="宋体" w:cs="宋体"/>
          <w:color w:val="auto"/>
          <w:sz w:val="24"/>
          <w:highlight w:val="none"/>
        </w:rPr>
      </w:pPr>
      <w:r>
        <w:rPr>
          <w:rFonts w:hint="eastAsia" w:ascii="宋体" w:hAnsi="宋体" w:cs="宋体"/>
          <w:color w:val="auto"/>
          <w:sz w:val="24"/>
          <w:highlight w:val="none"/>
        </w:rPr>
        <w:t xml:space="preserve">台州市建设咨询有限公司 </w:t>
      </w:r>
    </w:p>
    <w:p w14:paraId="794465DB">
      <w:pPr>
        <w:jc w:val="right"/>
        <w:rPr>
          <w:rFonts w:hint="eastAsia" w:ascii="宋体" w:hAnsi="宋体" w:cs="宋体"/>
          <w:color w:val="auto"/>
          <w:sz w:val="30"/>
          <w:szCs w:val="30"/>
          <w:highlight w:val="none"/>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30"/>
          <w:szCs w:val="30"/>
          <w:highlight w:val="none"/>
        </w:rPr>
        <w:br w:type="page"/>
      </w:r>
    </w:p>
    <w:p w14:paraId="636C4D51">
      <w:pPr>
        <w:snapToGrid w:val="0"/>
        <w:spacing w:line="336" w:lineRule="auto"/>
        <w:ind w:right="171" w:rightChars="61"/>
        <w:jc w:val="center"/>
        <w:rPr>
          <w:rFonts w:hint="eastAsia" w:ascii="宋体" w:hAnsi="宋体" w:cs="宋体"/>
          <w:color w:val="auto"/>
          <w:sz w:val="30"/>
          <w:szCs w:val="30"/>
          <w:highlight w:val="none"/>
        </w:rPr>
        <w:sectPr>
          <w:footerReference r:id="rId4" w:type="default"/>
          <w:pgSz w:w="11905" w:h="16838"/>
          <w:pgMar w:top="1247" w:right="1361" w:bottom="1247" w:left="1361" w:header="851" w:footer="850" w:gutter="0"/>
          <w:pgBorders>
            <w:top w:val="none" w:sz="0" w:space="0"/>
            <w:left w:val="none" w:sz="0" w:space="0"/>
            <w:bottom w:val="none" w:sz="0" w:space="0"/>
            <w:right w:val="none" w:sz="0" w:space="0"/>
          </w:pgBorders>
          <w:pgNumType w:fmt="decimal" w:start="1"/>
          <w:cols w:space="720" w:num="1"/>
          <w:docGrid w:type="lines" w:linePitch="382" w:charSpace="0"/>
        </w:sectPr>
      </w:pPr>
    </w:p>
    <w:p w14:paraId="74B94572">
      <w:pPr>
        <w:snapToGrid w:val="0"/>
        <w:spacing w:line="336" w:lineRule="auto"/>
        <w:ind w:right="171" w:rightChars="61"/>
        <w:jc w:val="center"/>
        <w:rPr>
          <w:rFonts w:ascii="宋体" w:hAnsi="宋体" w:cs="宋体"/>
          <w:color w:val="auto"/>
          <w:sz w:val="30"/>
          <w:szCs w:val="30"/>
          <w:highlight w:val="none"/>
        </w:rPr>
      </w:pPr>
      <w:r>
        <w:rPr>
          <w:rFonts w:hint="eastAsia" w:ascii="宋体" w:hAnsi="宋体" w:cs="宋体"/>
          <w:color w:val="auto"/>
          <w:sz w:val="30"/>
          <w:szCs w:val="30"/>
          <w:highlight w:val="none"/>
        </w:rPr>
        <w:t xml:space="preserve">第二章  </w:t>
      </w:r>
      <w:bookmarkStart w:id="2" w:name="OLE_LINK15"/>
      <w:r>
        <w:rPr>
          <w:rFonts w:hint="eastAsia" w:ascii="宋体" w:hAnsi="宋体" w:cs="宋体"/>
          <w:bCs/>
          <w:color w:val="auto"/>
          <w:sz w:val="30"/>
          <w:szCs w:val="30"/>
          <w:highlight w:val="none"/>
        </w:rPr>
        <w:t>招</w:t>
      </w:r>
      <w:r>
        <w:rPr>
          <w:rFonts w:hint="eastAsia" w:ascii="宋体" w:hAnsi="宋体" w:cs="宋体"/>
          <w:color w:val="auto"/>
          <w:sz w:val="30"/>
          <w:szCs w:val="30"/>
          <w:highlight w:val="none"/>
        </w:rPr>
        <w:t>标需求</w:t>
      </w:r>
      <w:bookmarkEnd w:id="2"/>
    </w:p>
    <w:p w14:paraId="4C91FAE9">
      <w:pPr>
        <w:widowControl w:val="0"/>
        <w:adjustRightInd/>
        <w:spacing w:line="360" w:lineRule="auto"/>
        <w:ind w:firstLine="482" w:firstLineChars="200"/>
        <w:jc w:val="left"/>
        <w:outlineLvl w:val="0"/>
        <w:rPr>
          <w:rFonts w:hint="eastAsia" w:ascii="宋体" w:hAnsi="宋体" w:eastAsia="宋体" w:cs="宋体"/>
          <w:b/>
          <w:color w:val="000000"/>
          <w:kern w:val="2"/>
          <w:sz w:val="24"/>
          <w:szCs w:val="24"/>
          <w:highlight w:val="none"/>
          <w:lang w:val="en-US" w:eastAsia="zh-CN" w:bidi="ar-SA"/>
        </w:rPr>
      </w:pPr>
      <w:bookmarkStart w:id="3" w:name="OLE_LINK21"/>
      <w:r>
        <w:rPr>
          <w:rFonts w:hint="eastAsia" w:ascii="宋体" w:hAnsi="宋体" w:eastAsia="宋体" w:cs="宋体"/>
          <w:b/>
          <w:color w:val="000000"/>
          <w:kern w:val="2"/>
          <w:sz w:val="24"/>
          <w:szCs w:val="24"/>
          <w:highlight w:val="none"/>
          <w:lang w:val="en-US" w:eastAsia="zh-CN" w:bidi="ar-SA"/>
        </w:rPr>
        <w:t>一、技术要求</w:t>
      </w:r>
    </w:p>
    <w:bookmarkEnd w:id="3"/>
    <w:p w14:paraId="7630D120">
      <w:pPr>
        <w:adjustRightInd w:val="0"/>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sz w:val="24"/>
          <w:szCs w:val="24"/>
          <w:highlight w:val="none"/>
          <w:lang w:eastAsia="zh-CN"/>
        </w:rPr>
        <w:t>服务业务范围为台州国际博览中心</w:t>
      </w:r>
      <w:r>
        <w:rPr>
          <w:rFonts w:hint="eastAsia" w:ascii="宋体" w:hAnsi="宋体" w:cs="宋体"/>
          <w:color w:val="auto"/>
          <w:kern w:val="0"/>
          <w:sz w:val="24"/>
          <w:highlight w:val="none"/>
        </w:rPr>
        <w:t>水、电、气</w:t>
      </w:r>
      <w:r>
        <w:rPr>
          <w:rFonts w:hint="eastAsia" w:ascii="宋体" w:hAnsi="宋体" w:cs="宋体"/>
          <w:color w:val="auto"/>
          <w:kern w:val="0"/>
          <w:sz w:val="24"/>
          <w:highlight w:val="none"/>
          <w:lang w:eastAsia="zh-CN"/>
        </w:rPr>
        <w:t>等服务工作，包括但不限于以下内容：</w:t>
      </w:r>
    </w:p>
    <w:p w14:paraId="633AFEEE">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1、中标</w:t>
      </w:r>
      <w:r>
        <w:rPr>
          <w:rFonts w:hint="eastAsia" w:ascii="宋体" w:hAnsi="宋体" w:eastAsia="宋体" w:cs="宋体"/>
          <w:sz w:val="24"/>
          <w:szCs w:val="24"/>
          <w:highlight w:val="none"/>
          <w:lang w:eastAsia="zh-CN"/>
        </w:rPr>
        <w:t>人</w:t>
      </w:r>
      <w:r>
        <w:rPr>
          <w:rFonts w:hint="eastAsia" w:ascii="宋体" w:hAnsi="宋体" w:cs="宋体"/>
          <w:sz w:val="24"/>
          <w:szCs w:val="24"/>
          <w:highlight w:val="none"/>
          <w:lang w:eastAsia="zh-CN"/>
        </w:rPr>
        <w:t>应负责</w:t>
      </w:r>
      <w:r>
        <w:rPr>
          <w:rFonts w:hint="eastAsia" w:ascii="宋体" w:hAnsi="宋体" w:eastAsia="宋体" w:cs="宋体"/>
          <w:sz w:val="24"/>
          <w:szCs w:val="24"/>
          <w:highlight w:val="none"/>
        </w:rPr>
        <w:t>水、电、气接驳服</w:t>
      </w:r>
      <w:r>
        <w:rPr>
          <w:rFonts w:hint="eastAsia" w:ascii="宋体" w:hAnsi="宋体" w:eastAsia="宋体" w:cs="宋体"/>
          <w:sz w:val="24"/>
          <w:szCs w:val="24"/>
          <w:highlight w:val="none"/>
          <w:lang w:eastAsia="zh-CN"/>
        </w:rPr>
        <w:t>务所需的所有设施设备包括配电箱（含配套电缆）、水管、气管及相关附件的采购</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所配备的水、电、气接驳设施设备须充足，以满足台州国际博览中心满馆运营需求。相关产品应当符合国家</w:t>
      </w:r>
      <w:r>
        <w:rPr>
          <w:rFonts w:hint="eastAsia" w:ascii="宋体" w:hAnsi="宋体" w:eastAsia="宋体" w:cs="宋体"/>
          <w:sz w:val="24"/>
          <w:szCs w:val="24"/>
          <w:highlight w:val="none"/>
        </w:rPr>
        <w:t>强制认证</w:t>
      </w:r>
      <w:bookmarkStart w:id="4" w:name="OLE_LINK3"/>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且</w:t>
      </w:r>
      <w:bookmarkEnd w:id="4"/>
      <w:r>
        <w:rPr>
          <w:rFonts w:hint="eastAsia" w:ascii="宋体" w:hAnsi="宋体" w:eastAsia="宋体" w:cs="宋体"/>
          <w:sz w:val="24"/>
          <w:szCs w:val="24"/>
          <w:highlight w:val="none"/>
        </w:rPr>
        <w:t>为国家质监部门认定合格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其中配电箱应当符合</w:t>
      </w:r>
      <w:bookmarkStart w:id="5" w:name="OLE_LINK4"/>
      <w:r>
        <w:rPr>
          <w:rFonts w:hint="eastAsia" w:ascii="宋体" w:hAnsi="宋体" w:eastAsia="宋体" w:cs="宋体"/>
          <w:sz w:val="24"/>
          <w:szCs w:val="24"/>
          <w:highlight w:val="none"/>
        </w:rPr>
        <w:t>IEC/EN/GB</w:t>
      </w:r>
      <w:bookmarkEnd w:id="5"/>
      <w:r>
        <w:rPr>
          <w:rFonts w:hint="eastAsia" w:ascii="宋体" w:hAnsi="宋体" w:eastAsia="宋体" w:cs="宋体"/>
          <w:sz w:val="24"/>
          <w:szCs w:val="24"/>
          <w:highlight w:val="none"/>
        </w:rPr>
        <w:t>标准，室外电箱防水等级应当达到IP65，每个配电箱仅允许配置一路进线开关且开关配置应当匹配相应电箱的额定性能要求，开关应当符合 IEC/EN标准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配套电缆应当符合IEC/EN/GB标准</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铜芯软电缆，原则上一路出线仅允许使用一根电缆，在未得到</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许可的情况下不允许两根或多根电缆拼接，电缆护套应当完好、无破皮；气管、接头和气阀应当符合GB标准，压力等级不低于10公斤；临时租赁的空压机应当符合国家规定，证照齐全，操作、维护人员持证上岗；水管、接头和水阀应当符合GB标准，压力等级不低于4公斤；其余附件及配件均应当符合GB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2、</w:t>
      </w:r>
      <w:bookmarkStart w:id="6" w:name="OLE_LINK9"/>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w:t>
      </w:r>
      <w:bookmarkEnd w:id="6"/>
      <w:r>
        <w:rPr>
          <w:rFonts w:hint="eastAsia" w:ascii="宋体" w:hAnsi="宋体" w:eastAsia="宋体" w:cs="宋体"/>
          <w:sz w:val="24"/>
          <w:szCs w:val="24"/>
          <w:highlight w:val="none"/>
        </w:rPr>
        <w:t>在</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rPr>
        <w:t>规定的送</w:t>
      </w:r>
      <w:bookmarkStart w:id="7" w:name="OLE_LINK6"/>
      <w:r>
        <w:rPr>
          <w:rFonts w:hint="eastAsia" w:ascii="宋体" w:hAnsi="宋体" w:eastAsia="宋体" w:cs="宋体"/>
          <w:sz w:val="24"/>
          <w:szCs w:val="24"/>
          <w:highlight w:val="none"/>
        </w:rPr>
        <w:t>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w:t>
      </w:r>
      <w:bookmarkEnd w:id="7"/>
      <w:r>
        <w:rPr>
          <w:rFonts w:hint="eastAsia" w:ascii="宋体" w:hAnsi="宋体" w:eastAsia="宋体" w:cs="宋体"/>
          <w:sz w:val="24"/>
          <w:szCs w:val="24"/>
          <w:highlight w:val="none"/>
        </w:rPr>
        <w:t>时间之前，从展厅展位箱（或指定接驳点）引出水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气源至指定位置，所有展会展台（或指定位置）配套电箱、水管、气管及相关配件均已达到使用条件，并确保无其他单位擅自接入</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的展位箱或水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气接驳点；中标人应确保展厅展位箱（或指定接驳点）设备设施完好，无人为损坏；</w:t>
      </w:r>
      <w:bookmarkStart w:id="8" w:name="OLE_LINK5"/>
      <w:r>
        <w:rPr>
          <w:rFonts w:hint="eastAsia" w:ascii="宋体" w:hAnsi="宋体" w:eastAsia="宋体" w:cs="宋体"/>
          <w:sz w:val="24"/>
          <w:szCs w:val="24"/>
          <w:highlight w:val="none"/>
        </w:rPr>
        <w:t>投标人应确保</w:t>
      </w:r>
      <w:bookmarkEnd w:id="8"/>
      <w:r>
        <w:rPr>
          <w:rFonts w:hint="eastAsia" w:ascii="宋体" w:hAnsi="宋体" w:eastAsia="宋体" w:cs="宋体"/>
          <w:sz w:val="24"/>
          <w:szCs w:val="24"/>
          <w:highlight w:val="none"/>
        </w:rPr>
        <w:t>所有接驳点连接牢固，无脱落或</w:t>
      </w:r>
      <w:bookmarkStart w:id="9" w:name="OLE_LINK14"/>
      <w:r>
        <w:rPr>
          <w:rFonts w:hint="eastAsia" w:ascii="宋体" w:hAnsi="宋体" w:eastAsia="宋体" w:cs="宋体"/>
          <w:sz w:val="24"/>
          <w:szCs w:val="24"/>
          <w:highlight w:val="none"/>
        </w:rPr>
        <w:t>虚联</w:t>
      </w:r>
      <w:bookmarkEnd w:id="9"/>
      <w:r>
        <w:rPr>
          <w:rFonts w:hint="eastAsia" w:ascii="宋体" w:hAnsi="宋体" w:eastAsia="宋体" w:cs="宋体"/>
          <w:sz w:val="24"/>
          <w:szCs w:val="24"/>
          <w:highlight w:val="none"/>
        </w:rPr>
        <w:t>；投标人应确保</w:t>
      </w:r>
      <w:r>
        <w:rPr>
          <w:rFonts w:hint="eastAsia" w:ascii="宋体" w:hAnsi="宋体" w:cs="宋体"/>
          <w:sz w:val="24"/>
          <w:szCs w:val="24"/>
          <w:highlight w:val="none"/>
          <w:lang w:eastAsia="zh-CN"/>
        </w:rPr>
        <w:t>所有</w:t>
      </w:r>
      <w:r>
        <w:rPr>
          <w:rFonts w:hint="eastAsia" w:ascii="宋体" w:hAnsi="宋体" w:eastAsia="宋体" w:cs="宋体"/>
          <w:sz w:val="24"/>
          <w:szCs w:val="24"/>
          <w:highlight w:val="none"/>
        </w:rPr>
        <w:t>线缆或管路</w:t>
      </w:r>
      <w:r>
        <w:rPr>
          <w:rFonts w:hint="eastAsia" w:ascii="宋体" w:hAnsi="宋体" w:cs="宋体"/>
          <w:sz w:val="24"/>
          <w:szCs w:val="24"/>
          <w:highlight w:val="none"/>
          <w:lang w:eastAsia="zh-CN"/>
        </w:rPr>
        <w:t>通道</w:t>
      </w:r>
      <w:r>
        <w:rPr>
          <w:rFonts w:hint="eastAsia" w:ascii="宋体" w:hAnsi="宋体" w:eastAsia="宋体" w:cs="宋体"/>
          <w:sz w:val="24"/>
          <w:szCs w:val="24"/>
          <w:highlight w:val="none"/>
        </w:rPr>
        <w:t>采取安全可靠的保护措施</w:t>
      </w:r>
      <w:r>
        <w:rPr>
          <w:rFonts w:hint="eastAsia" w:ascii="宋体" w:hAnsi="宋体" w:cs="宋体"/>
          <w:sz w:val="24"/>
          <w:szCs w:val="24"/>
          <w:highlight w:val="none"/>
          <w:lang w:eastAsia="zh-CN"/>
        </w:rPr>
        <w:t>并张贴</w:t>
      </w:r>
      <w:r>
        <w:rPr>
          <w:rFonts w:hint="eastAsia" w:ascii="宋体" w:hAnsi="宋体" w:eastAsia="宋体" w:cs="宋体"/>
          <w:sz w:val="24"/>
          <w:szCs w:val="24"/>
          <w:highlight w:val="none"/>
        </w:rPr>
        <w:t>警示标</w:t>
      </w:r>
      <w:r>
        <w:rPr>
          <w:rFonts w:hint="eastAsia" w:ascii="宋体" w:hAnsi="宋体" w:cs="宋体"/>
          <w:sz w:val="24"/>
          <w:szCs w:val="24"/>
          <w:highlight w:val="none"/>
          <w:lang w:eastAsia="zh-CN"/>
        </w:rPr>
        <w:t>记</w:t>
      </w:r>
      <w:r>
        <w:rPr>
          <w:rFonts w:hint="eastAsia" w:ascii="宋体" w:hAnsi="宋体" w:eastAsia="宋体" w:cs="宋体"/>
          <w:sz w:val="24"/>
          <w:szCs w:val="24"/>
          <w:highlight w:val="none"/>
        </w:rPr>
        <w:t>。</w:t>
      </w:r>
    </w:p>
    <w:p w14:paraId="1695638E">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lang w:eastAsia="zh-CN"/>
        </w:rPr>
      </w:pPr>
      <w:bookmarkStart w:id="10" w:name="OLE_LINK19"/>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bookmarkEnd w:id="10"/>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应负责</w:t>
      </w:r>
      <w:r>
        <w:rPr>
          <w:rFonts w:hint="eastAsia" w:ascii="宋体" w:hAnsi="宋体" w:eastAsia="宋体" w:cs="宋体"/>
          <w:sz w:val="24"/>
          <w:szCs w:val="24"/>
          <w:highlight w:val="none"/>
          <w:lang w:eastAsia="zh-CN"/>
        </w:rPr>
        <w:t>在</w:t>
      </w:r>
      <w:r>
        <w:rPr>
          <w:rFonts w:hint="eastAsia" w:ascii="宋体" w:hAnsi="宋体" w:eastAsia="宋体" w:cs="宋体"/>
          <w:sz w:val="24"/>
          <w:szCs w:val="24"/>
          <w:highlight w:val="none"/>
        </w:rPr>
        <w:t>展前协调会对主场搭建水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气接驳</w:t>
      </w:r>
      <w:r>
        <w:rPr>
          <w:rFonts w:hint="eastAsia" w:ascii="宋体" w:hAnsi="宋体" w:cs="宋体"/>
          <w:sz w:val="24"/>
          <w:szCs w:val="24"/>
          <w:highlight w:val="none"/>
          <w:lang w:eastAsia="zh-CN"/>
        </w:rPr>
        <w:t>提出</w:t>
      </w:r>
      <w:r>
        <w:rPr>
          <w:rFonts w:hint="eastAsia" w:ascii="宋体" w:hAnsi="宋体" w:eastAsia="宋体" w:cs="宋体"/>
          <w:sz w:val="24"/>
          <w:szCs w:val="24"/>
          <w:highlight w:val="none"/>
        </w:rPr>
        <w:t>的问题进行答疑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负责展会开展前</w:t>
      </w:r>
      <w:r>
        <w:rPr>
          <w:rFonts w:hint="eastAsia" w:ascii="宋体" w:hAnsi="宋体" w:eastAsia="宋体" w:cs="宋体"/>
          <w:sz w:val="24"/>
          <w:szCs w:val="24"/>
          <w:highlight w:val="none"/>
          <w:lang w:eastAsia="zh-CN"/>
        </w:rPr>
        <w:t>所有</w:t>
      </w:r>
      <w:r>
        <w:rPr>
          <w:rFonts w:hint="eastAsia" w:ascii="宋体" w:hAnsi="宋体" w:eastAsia="宋体" w:cs="宋体"/>
          <w:sz w:val="24"/>
          <w:szCs w:val="24"/>
          <w:highlight w:val="none"/>
        </w:rPr>
        <w:t>用水、电、气</w:t>
      </w:r>
      <w:bookmarkStart w:id="11" w:name="OLE_LINK11"/>
      <w:r>
        <w:rPr>
          <w:rFonts w:hint="eastAsia" w:ascii="宋体" w:hAnsi="宋体" w:eastAsia="宋体" w:cs="宋体"/>
          <w:sz w:val="24"/>
          <w:szCs w:val="24"/>
          <w:highlight w:val="none"/>
        </w:rPr>
        <w:t>图纸</w:t>
      </w:r>
      <w:bookmarkEnd w:id="11"/>
      <w:r>
        <w:rPr>
          <w:rFonts w:hint="eastAsia" w:ascii="宋体" w:hAnsi="宋体" w:eastAsia="宋体" w:cs="宋体"/>
          <w:sz w:val="24"/>
          <w:szCs w:val="24"/>
          <w:highlight w:val="none"/>
        </w:rPr>
        <w:t>审核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将不符合</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lang w:eastAsia="zh-CN"/>
        </w:rPr>
        <w:t>要求的</w:t>
      </w:r>
      <w:r>
        <w:rPr>
          <w:rFonts w:hint="eastAsia" w:ascii="宋体" w:hAnsi="宋体" w:eastAsia="宋体" w:cs="宋体"/>
          <w:sz w:val="24"/>
          <w:szCs w:val="24"/>
          <w:highlight w:val="none"/>
        </w:rPr>
        <w:t>图纸以整改单的形式统一汇总到</w:t>
      </w:r>
      <w:bookmarkStart w:id="12" w:name="OLE_LINK18"/>
      <w:r>
        <w:rPr>
          <w:rFonts w:hint="eastAsia" w:ascii="宋体" w:hAnsi="宋体" w:eastAsia="宋体" w:cs="宋体"/>
          <w:sz w:val="24"/>
          <w:szCs w:val="24"/>
          <w:highlight w:val="none"/>
        </w:rPr>
        <w:t>主场搭建</w:t>
      </w:r>
      <w:bookmarkEnd w:id="12"/>
      <w:r>
        <w:rPr>
          <w:rFonts w:hint="eastAsia" w:ascii="宋体" w:hAnsi="宋体" w:eastAsia="宋体" w:cs="宋体"/>
          <w:sz w:val="24"/>
          <w:szCs w:val="24"/>
          <w:highlight w:val="none"/>
        </w:rPr>
        <w:t>，让其督促整改。</w:t>
      </w:r>
    </w:p>
    <w:p w14:paraId="0AF9B84F">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应在</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规定的时间内，完成所有展会展台（或指定位置）的送（停）水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气操作。送电时对电箱进行检查，将不符合送电的情况以整改单的形式统一汇总到主场搭建，让其督促整改。</w:t>
      </w:r>
    </w:p>
    <w:p w14:paraId="26A13502">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应承担展会期间展馆配水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气设备设施（含展位箱、落地柜及插座箱）的现场管理，设专人负责巡检及抽验，杜绝偷水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气及其他违章或违规行为，确保现场用水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气安全。</w:t>
      </w:r>
    </w:p>
    <w:p w14:paraId="13652E6B">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应参与或负责展会期间展馆配水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气设备设施的状态确认，包含但不限于以下</w:t>
      </w:r>
      <w:r>
        <w:rPr>
          <w:rFonts w:hint="eastAsia" w:ascii="宋体" w:hAnsi="宋体" w:cs="宋体"/>
          <w:sz w:val="24"/>
          <w:szCs w:val="24"/>
          <w:highlight w:val="none"/>
          <w:lang w:val="en-US" w:eastAsia="zh-CN"/>
        </w:rPr>
        <w:t>两</w:t>
      </w:r>
      <w:r>
        <w:rPr>
          <w:rFonts w:hint="eastAsia" w:ascii="宋体" w:hAnsi="宋体" w:eastAsia="宋体" w:cs="宋体"/>
          <w:sz w:val="24"/>
          <w:szCs w:val="24"/>
          <w:highlight w:val="none"/>
        </w:rPr>
        <w:t xml:space="preserve">种情况：1. </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rPr>
        <w:t>与主办方在场地交接时，</w:t>
      </w:r>
      <w:r>
        <w:rPr>
          <w:rFonts w:hint="eastAsia" w:ascii="宋体" w:hAnsi="宋体" w:cs="宋体"/>
          <w:sz w:val="24"/>
          <w:szCs w:val="24"/>
          <w:highlight w:val="none"/>
          <w:lang w:val="en-US" w:eastAsia="zh-CN"/>
        </w:rPr>
        <w:t>中标人</w:t>
      </w:r>
      <w:r>
        <w:rPr>
          <w:rFonts w:hint="eastAsia" w:ascii="宋体" w:hAnsi="宋体" w:eastAsia="宋体" w:cs="宋体"/>
          <w:sz w:val="24"/>
          <w:szCs w:val="24"/>
          <w:highlight w:val="none"/>
        </w:rPr>
        <w:t>需配合</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rPr>
        <w:t>对展厅整体状态做确认；2. 中标人在正式送（停）</w:t>
      </w:r>
      <w:bookmarkStart w:id="13" w:name="OLE_LINK16"/>
      <w:r>
        <w:rPr>
          <w:rFonts w:hint="eastAsia" w:ascii="宋体" w:hAnsi="宋体" w:eastAsia="宋体" w:cs="宋体"/>
          <w:sz w:val="24"/>
          <w:szCs w:val="24"/>
          <w:highlight w:val="none"/>
        </w:rPr>
        <w:t>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w:t>
      </w:r>
      <w:bookmarkEnd w:id="13"/>
      <w:r>
        <w:rPr>
          <w:rFonts w:hint="eastAsia" w:ascii="宋体" w:hAnsi="宋体" w:eastAsia="宋体" w:cs="宋体"/>
          <w:sz w:val="24"/>
          <w:szCs w:val="24"/>
          <w:highlight w:val="none"/>
        </w:rPr>
        <w:t>前应进行自检，对搭建方的水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气回路进行验收。</w:t>
      </w:r>
    </w:p>
    <w:p w14:paraId="4EA236BE">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应在展会现场设专人驻点，</w:t>
      </w:r>
      <w:r>
        <w:rPr>
          <w:rFonts w:hint="eastAsia" w:ascii="宋体" w:hAnsi="宋体" w:eastAsia="宋体" w:cs="宋体"/>
          <w:sz w:val="24"/>
          <w:szCs w:val="24"/>
          <w:highlight w:val="none"/>
        </w:rPr>
        <w:t>按展会规模合理安排工作服务人员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所有工作人员须严格执行各项施工管理规定并统一着装，并持有效特种作业操作证，且报</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rPr>
        <w:t>备案。</w:t>
      </w:r>
      <w:r>
        <w:rPr>
          <w:rFonts w:hint="eastAsia" w:ascii="宋体" w:hAnsi="宋体" w:cs="宋体"/>
          <w:sz w:val="24"/>
          <w:szCs w:val="24"/>
          <w:highlight w:val="none"/>
          <w:lang w:eastAsia="zh-CN"/>
        </w:rPr>
        <w:t>展览期间</w:t>
      </w:r>
      <w:r>
        <w:rPr>
          <w:rFonts w:hint="eastAsia" w:ascii="宋体" w:hAnsi="宋体" w:eastAsia="宋体" w:cs="宋体"/>
          <w:sz w:val="24"/>
          <w:szCs w:val="24"/>
          <w:highlight w:val="none"/>
        </w:rPr>
        <w:t>技术员配备不少于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/展馆</w:t>
      </w:r>
      <w:r>
        <w:rPr>
          <w:rFonts w:hint="eastAsia" w:ascii="宋体" w:hAnsi="宋体" w:eastAsia="宋体" w:cs="宋体"/>
          <w:sz w:val="24"/>
          <w:szCs w:val="24"/>
          <w:highlight w:val="none"/>
          <w:lang w:eastAsia="zh-CN"/>
        </w:rPr>
        <w:t>，会议及活动期间</w:t>
      </w:r>
      <w:r>
        <w:rPr>
          <w:rFonts w:hint="eastAsia" w:ascii="宋体" w:hAnsi="宋体" w:eastAsia="宋体" w:cs="宋体"/>
          <w:sz w:val="24"/>
          <w:szCs w:val="24"/>
          <w:highlight w:val="none"/>
        </w:rPr>
        <w:t>须配备技术员不少于</w:t>
      </w:r>
      <w:r>
        <w:rPr>
          <w:rFonts w:hint="eastAsia" w:ascii="宋体" w:hAnsi="宋体" w:eastAsia="宋体" w:cs="宋体"/>
          <w:sz w:val="24"/>
          <w:szCs w:val="24"/>
          <w:highlight w:val="none"/>
          <w:lang w:val="en-US" w:eastAsia="zh-CN"/>
        </w:rPr>
        <w:t>2人/场，</w:t>
      </w:r>
      <w:r>
        <w:rPr>
          <w:rFonts w:hint="eastAsia" w:ascii="宋体" w:hAnsi="宋体" w:eastAsia="宋体" w:cs="宋体"/>
          <w:sz w:val="24"/>
          <w:szCs w:val="24"/>
          <w:highlight w:val="none"/>
          <w:lang w:eastAsia="zh-CN"/>
        </w:rPr>
        <w:t>客户</w:t>
      </w:r>
      <w:r>
        <w:rPr>
          <w:rFonts w:hint="eastAsia" w:ascii="宋体" w:hAnsi="宋体" w:eastAsia="宋体" w:cs="宋体"/>
          <w:sz w:val="24"/>
          <w:szCs w:val="24"/>
          <w:highlight w:val="none"/>
        </w:rPr>
        <w:t>现场临时增加水、电、气</w:t>
      </w:r>
      <w:r>
        <w:rPr>
          <w:rFonts w:hint="eastAsia" w:ascii="宋体" w:hAnsi="宋体" w:eastAsia="宋体" w:cs="宋体"/>
          <w:sz w:val="24"/>
          <w:szCs w:val="24"/>
          <w:highlight w:val="none"/>
          <w:lang w:eastAsia="zh-CN"/>
        </w:rPr>
        <w:t>需求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响应时间不得超过</w:t>
      </w:r>
      <w:r>
        <w:rPr>
          <w:rFonts w:hint="eastAsia" w:ascii="宋体" w:hAnsi="宋体" w:eastAsia="宋体" w:cs="宋体"/>
          <w:sz w:val="24"/>
          <w:szCs w:val="24"/>
          <w:highlight w:val="none"/>
        </w:rPr>
        <w:t>30分钟。</w:t>
      </w:r>
    </w:p>
    <w:p w14:paraId="74A39729">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bookmarkStart w:id="14" w:name="OLE_LINK13"/>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应负责</w:t>
      </w:r>
      <w:bookmarkEnd w:id="14"/>
      <w:r>
        <w:rPr>
          <w:rFonts w:hint="eastAsia" w:ascii="宋体" w:hAnsi="宋体" w:eastAsia="宋体" w:cs="宋体"/>
          <w:sz w:val="24"/>
          <w:szCs w:val="24"/>
          <w:highlight w:val="none"/>
        </w:rPr>
        <w:t>展会期间展馆配水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气的应急响应，一旦发现水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气异常或接到通知，应立即响应；如暂时无法解决，应立即启动预案，采取防护措施，并通</w:t>
      </w:r>
      <w:r>
        <w:rPr>
          <w:rFonts w:hint="eastAsia" w:ascii="宋体" w:hAnsi="宋体" w:cs="宋体"/>
          <w:sz w:val="24"/>
          <w:szCs w:val="24"/>
          <w:highlight w:val="none"/>
          <w:lang w:val="en-US" w:eastAsia="zh-CN"/>
        </w:rPr>
        <w:t>知招标人</w:t>
      </w:r>
      <w:r>
        <w:rPr>
          <w:rFonts w:hint="eastAsia" w:ascii="宋体" w:hAnsi="宋体" w:eastAsia="宋体" w:cs="宋体"/>
          <w:sz w:val="24"/>
          <w:szCs w:val="24"/>
          <w:highlight w:val="none"/>
        </w:rPr>
        <w:t>，确保开展期间所有展会展台用</w:t>
      </w:r>
      <w:bookmarkStart w:id="15" w:name="OLE_LINK22"/>
      <w:r>
        <w:rPr>
          <w:rFonts w:hint="eastAsia" w:ascii="宋体" w:hAnsi="宋体" w:eastAsia="宋体" w:cs="宋体"/>
          <w:sz w:val="24"/>
          <w:szCs w:val="24"/>
          <w:highlight w:val="none"/>
        </w:rPr>
        <w:t>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w:t>
      </w:r>
      <w:bookmarkEnd w:id="15"/>
      <w:r>
        <w:rPr>
          <w:rFonts w:hint="eastAsia" w:ascii="宋体" w:hAnsi="宋体" w:eastAsia="宋体" w:cs="宋体"/>
          <w:sz w:val="24"/>
          <w:szCs w:val="24"/>
          <w:highlight w:val="none"/>
        </w:rPr>
        <w:t>无失控，无重大事故。</w:t>
      </w:r>
    </w:p>
    <w:p w14:paraId="2611CBE8">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所有展馆配水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气服务所需的设备设施、物资、工具、车辆等的采购、租赁及运输等均由投标人自行解决，与</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rPr>
        <w:t>无关；投标人应定期对重要设备设施进行检测，及时维修、更换、淘汰故障设备设施。</w:t>
      </w:r>
    </w:p>
    <w:p w14:paraId="5BC53C49">
      <w:pPr>
        <w:numPr>
          <w:ilvl w:val="0"/>
          <w:numId w:val="0"/>
        </w:numPr>
        <w:adjustRightInd w:val="0"/>
        <w:snapToGri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应响应展会主办方提出的其他展务配套服务用电需求</w:t>
      </w:r>
      <w:r>
        <w:rPr>
          <w:rFonts w:hint="eastAsia" w:ascii="宋体" w:hAnsi="宋体" w:cs="宋体"/>
          <w:sz w:val="24"/>
          <w:szCs w:val="24"/>
          <w:highlight w:val="none"/>
          <w:lang w:eastAsia="zh-CN"/>
        </w:rPr>
        <w:t>。</w:t>
      </w:r>
    </w:p>
    <w:p w14:paraId="07517863">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应负责免费为</w:t>
      </w:r>
      <w:r>
        <w:rPr>
          <w:rFonts w:hint="eastAsia" w:ascii="宋体" w:hAnsi="宋体" w:cs="宋体"/>
          <w:sz w:val="24"/>
          <w:szCs w:val="24"/>
          <w:highlight w:val="none"/>
          <w:lang w:val="en-US" w:eastAsia="zh-CN"/>
        </w:rPr>
        <w:t>招</w:t>
      </w:r>
      <w:r>
        <w:rPr>
          <w:rFonts w:hint="eastAsia" w:ascii="宋体" w:hAnsi="宋体" w:eastAsia="宋体" w:cs="宋体"/>
          <w:sz w:val="24"/>
          <w:szCs w:val="24"/>
          <w:highlight w:val="none"/>
          <w:lang w:val="en-US" w:eastAsia="zh-CN"/>
        </w:rPr>
        <w:t>标人提供每年不少于一次馆</w:t>
      </w:r>
      <w:r>
        <w:rPr>
          <w:rFonts w:hint="eastAsia" w:ascii="宋体" w:hAnsi="宋体" w:eastAsia="宋体" w:cs="宋体"/>
          <w:sz w:val="24"/>
          <w:szCs w:val="24"/>
          <w:highlight w:val="none"/>
        </w:rPr>
        <w:t>沟维护</w:t>
      </w:r>
      <w:r>
        <w:rPr>
          <w:rFonts w:hint="eastAsia" w:ascii="宋体" w:hAnsi="宋体" w:eastAsia="宋体" w:cs="宋体"/>
          <w:sz w:val="24"/>
          <w:szCs w:val="24"/>
          <w:highlight w:val="none"/>
          <w:lang w:val="en-US" w:eastAsia="zh-CN"/>
        </w:rPr>
        <w:t>保养</w:t>
      </w:r>
      <w:r>
        <w:rPr>
          <w:rFonts w:hint="eastAsia" w:ascii="宋体" w:hAnsi="宋体" w:eastAsia="宋体" w:cs="宋体"/>
          <w:sz w:val="24"/>
          <w:szCs w:val="24"/>
          <w:highlight w:val="none"/>
          <w:lang w:eastAsia="zh-CN"/>
        </w:rPr>
        <w:t>、包括但不限于现场</w:t>
      </w:r>
      <w:r>
        <w:rPr>
          <w:rFonts w:hint="eastAsia" w:ascii="宋体" w:hAnsi="宋体" w:eastAsia="宋体" w:cs="宋体"/>
          <w:sz w:val="24"/>
          <w:szCs w:val="24"/>
          <w:highlight w:val="none"/>
        </w:rPr>
        <w:t>餐饮</w:t>
      </w:r>
      <w:r>
        <w:rPr>
          <w:rFonts w:hint="eastAsia" w:ascii="宋体" w:hAnsi="宋体" w:eastAsia="宋体" w:cs="宋体"/>
          <w:sz w:val="24"/>
          <w:szCs w:val="24"/>
          <w:highlight w:val="none"/>
          <w:lang w:eastAsia="zh-CN"/>
        </w:rPr>
        <w:t>、设备等</w:t>
      </w:r>
      <w:r>
        <w:rPr>
          <w:rFonts w:hint="eastAsia" w:ascii="宋体" w:hAnsi="宋体" w:eastAsia="宋体" w:cs="宋体"/>
          <w:sz w:val="24"/>
          <w:szCs w:val="24"/>
          <w:highlight w:val="none"/>
        </w:rPr>
        <w:t>临时用水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气接驳</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涉及易损耗材</w:t>
      </w:r>
      <w:r>
        <w:rPr>
          <w:rFonts w:hint="eastAsia" w:ascii="宋体" w:hAnsi="宋体" w:eastAsia="宋体" w:cs="宋体"/>
          <w:sz w:val="24"/>
          <w:szCs w:val="24"/>
          <w:highlight w:val="none"/>
          <w:lang w:eastAsia="zh-CN"/>
        </w:rPr>
        <w:t>及更换材料</w:t>
      </w:r>
      <w:r>
        <w:rPr>
          <w:rFonts w:hint="eastAsia" w:ascii="宋体" w:hAnsi="宋体" w:eastAsia="宋体" w:cs="宋体"/>
          <w:sz w:val="24"/>
          <w:szCs w:val="24"/>
          <w:highlight w:val="none"/>
        </w:rPr>
        <w:t>需采购产生费用的维护项目需递交申请，盖章确认费用后再予以实施。</w:t>
      </w:r>
    </w:p>
    <w:p w14:paraId="3381D00D">
      <w:pPr>
        <w:numPr>
          <w:ilvl w:val="0"/>
          <w:numId w:val="0"/>
        </w:numPr>
        <w:adjustRightInd w:val="0"/>
        <w:snapToGrid w:val="0"/>
        <w:spacing w:line="360" w:lineRule="auto"/>
        <w:ind w:firstLine="480" w:firstLineChars="200"/>
        <w:jc w:val="left"/>
        <w:rPr>
          <w:rFonts w:hint="default" w:ascii="宋体" w:hAnsi="宋体" w:eastAsia="宋体" w:cs="宋体"/>
          <w:strike w:val="0"/>
          <w:sz w:val="24"/>
          <w:szCs w:val="24"/>
          <w:highlight w:val="none"/>
          <w:lang w:val="en-US" w:eastAsia="zh-CN"/>
        </w:rPr>
      </w:pPr>
      <w:r>
        <w:rPr>
          <w:rFonts w:hint="eastAsia" w:ascii="宋体" w:hAnsi="宋体" w:cs="宋体"/>
          <w:strike w:val="0"/>
          <w:dstrike w:val="0"/>
          <w:sz w:val="24"/>
          <w:szCs w:val="24"/>
          <w:highlight w:val="none"/>
          <w:lang w:val="en-US" w:eastAsia="zh-CN"/>
        </w:rPr>
        <w:t>12</w:t>
      </w:r>
      <w:r>
        <w:rPr>
          <w:rFonts w:hint="eastAsia" w:ascii="宋体" w:hAnsi="宋体" w:eastAsia="宋体" w:cs="宋体"/>
          <w:strike w:val="0"/>
          <w:dstrike w:val="0"/>
          <w:sz w:val="24"/>
          <w:szCs w:val="24"/>
          <w:highlight w:val="none"/>
          <w:lang w:val="en-US" w:eastAsia="zh-CN"/>
        </w:rPr>
        <w:t>、</w:t>
      </w:r>
      <w:r>
        <w:rPr>
          <w:rFonts w:hint="eastAsia" w:ascii="宋体" w:hAnsi="宋体" w:eastAsia="宋体" w:cs="宋体"/>
          <w:strike w:val="0"/>
          <w:dstrike w:val="0"/>
          <w:sz w:val="24"/>
          <w:szCs w:val="24"/>
          <w:highlight w:val="none"/>
        </w:rPr>
        <w:t>在服务期内，中标人应向</w:t>
      </w:r>
      <w:r>
        <w:rPr>
          <w:rFonts w:hint="eastAsia" w:ascii="宋体" w:hAnsi="宋体" w:cs="宋体"/>
          <w:strike w:val="0"/>
          <w:dstrike w:val="0"/>
          <w:sz w:val="24"/>
          <w:szCs w:val="24"/>
          <w:highlight w:val="none"/>
          <w:lang w:val="en-US" w:eastAsia="zh-CN"/>
        </w:rPr>
        <w:t>招标人</w:t>
      </w:r>
      <w:r>
        <w:rPr>
          <w:rFonts w:hint="eastAsia" w:ascii="宋体" w:hAnsi="宋体" w:eastAsia="宋体" w:cs="宋体"/>
          <w:strike w:val="0"/>
          <w:dstrike w:val="0"/>
          <w:sz w:val="24"/>
          <w:szCs w:val="24"/>
          <w:highlight w:val="none"/>
        </w:rPr>
        <w:t>提供处于有效期内的人身、财产保险保单复印件，保单的保险期间至少需涵盖在合同履行期限，保单的范围涵盖中标人所聘人员所造成的人员伤亡、财产损失、第三人安全事故，及因投标人电箱故障造成</w:t>
      </w:r>
      <w:r>
        <w:rPr>
          <w:rFonts w:hint="eastAsia" w:ascii="宋体" w:hAnsi="宋体" w:cs="宋体"/>
          <w:strike w:val="0"/>
          <w:dstrike w:val="0"/>
          <w:sz w:val="24"/>
          <w:szCs w:val="24"/>
          <w:highlight w:val="none"/>
          <w:lang w:val="en-US" w:eastAsia="zh-CN"/>
        </w:rPr>
        <w:t>招标人</w:t>
      </w:r>
      <w:r>
        <w:rPr>
          <w:rFonts w:hint="eastAsia" w:ascii="宋体" w:hAnsi="宋体" w:eastAsia="宋体" w:cs="宋体"/>
          <w:strike w:val="0"/>
          <w:dstrike w:val="0"/>
          <w:sz w:val="24"/>
          <w:szCs w:val="24"/>
          <w:highlight w:val="none"/>
        </w:rPr>
        <w:t>和</w:t>
      </w:r>
      <w:r>
        <w:rPr>
          <w:rFonts w:hint="eastAsia" w:ascii="宋体" w:hAnsi="宋体" w:cs="宋体"/>
          <w:strike w:val="0"/>
          <w:dstrike w:val="0"/>
          <w:sz w:val="24"/>
          <w:szCs w:val="24"/>
          <w:highlight w:val="none"/>
          <w:lang w:val="en-US" w:eastAsia="zh-CN"/>
        </w:rPr>
        <w:t>招标人</w:t>
      </w:r>
      <w:r>
        <w:rPr>
          <w:rFonts w:hint="eastAsia" w:ascii="宋体" w:hAnsi="宋体" w:eastAsia="宋体" w:cs="宋体"/>
          <w:strike w:val="0"/>
          <w:dstrike w:val="0"/>
          <w:sz w:val="24"/>
          <w:szCs w:val="24"/>
          <w:highlight w:val="none"/>
        </w:rPr>
        <w:t>客户的人员伤亡及财产损失事故。其中，人身险每人单次赔偿限额不得低于</w:t>
      </w:r>
      <w:r>
        <w:rPr>
          <w:rFonts w:hint="eastAsia" w:ascii="宋体" w:hAnsi="宋体" w:cs="宋体"/>
          <w:strike w:val="0"/>
          <w:dstrike w:val="0"/>
          <w:sz w:val="24"/>
          <w:szCs w:val="24"/>
          <w:highlight w:val="none"/>
          <w:lang w:eastAsia="zh-CN"/>
        </w:rPr>
        <w:t>浙江省</w:t>
      </w:r>
      <w:r>
        <w:rPr>
          <w:rFonts w:hint="eastAsia" w:ascii="宋体" w:hAnsi="宋体" w:eastAsia="宋体" w:cs="宋体"/>
          <w:strike w:val="0"/>
          <w:dstrike w:val="0"/>
          <w:sz w:val="24"/>
          <w:szCs w:val="24"/>
          <w:highlight w:val="none"/>
        </w:rPr>
        <w:t>现行工伤赔偿水平，财产险单次赔偿限额不得低于500万元。</w:t>
      </w:r>
    </w:p>
    <w:p w14:paraId="3993EB50">
      <w:pPr>
        <w:widowControl w:val="0"/>
        <w:adjustRightInd/>
        <w:spacing w:line="360" w:lineRule="auto"/>
        <w:ind w:firstLine="482" w:firstLineChars="200"/>
        <w:jc w:val="left"/>
        <w:outlineLvl w:val="0"/>
        <w:rPr>
          <w:rFonts w:hint="eastAsia" w:ascii="宋体" w:hAnsi="宋体" w:eastAsia="宋体" w:cs="宋体"/>
          <w:b/>
          <w:color w:val="000000"/>
          <w:kern w:val="2"/>
          <w:sz w:val="24"/>
          <w:szCs w:val="24"/>
          <w:highlight w:val="none"/>
          <w:lang w:val="en-US" w:eastAsia="zh-CN" w:bidi="ar-SA"/>
        </w:rPr>
      </w:pPr>
      <w:bookmarkStart w:id="16" w:name="OLE_LINK23"/>
      <w:r>
        <w:rPr>
          <w:rFonts w:hint="eastAsia" w:ascii="宋体" w:hAnsi="宋体" w:eastAsia="宋体" w:cs="宋体"/>
          <w:b/>
          <w:color w:val="000000"/>
          <w:kern w:val="2"/>
          <w:sz w:val="24"/>
          <w:szCs w:val="24"/>
          <w:highlight w:val="none"/>
          <w:lang w:val="en-US" w:eastAsia="zh-CN" w:bidi="ar-SA"/>
        </w:rPr>
        <w:t>二、</w:t>
      </w:r>
      <w:bookmarkEnd w:id="16"/>
      <w:r>
        <w:rPr>
          <w:rFonts w:hint="eastAsia" w:ascii="宋体" w:hAnsi="宋体" w:eastAsia="宋体" w:cs="宋体"/>
          <w:b/>
          <w:color w:val="000000"/>
          <w:kern w:val="2"/>
          <w:sz w:val="24"/>
          <w:szCs w:val="24"/>
          <w:highlight w:val="none"/>
          <w:lang w:val="en-US" w:eastAsia="zh-CN" w:bidi="ar-SA"/>
        </w:rPr>
        <w:t>服务目标</w:t>
      </w:r>
    </w:p>
    <w:p w14:paraId="1974BDDA">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中标人应结合展览搭建管理的特点，提供专业、安全、高效的展馆配水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气服务，达到且不限于以下服务目标：</w:t>
      </w:r>
    </w:p>
    <w:p w14:paraId="0219B66E">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（一）重大安全事故为0；</w:t>
      </w:r>
    </w:p>
    <w:p w14:paraId="505B8FDC">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（二）满意率不低于90%；</w:t>
      </w:r>
    </w:p>
    <w:p w14:paraId="5912E429">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（三）服务质量投诉失控项目为0；</w:t>
      </w:r>
    </w:p>
    <w:p w14:paraId="111997AF">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（四）设备设施故障率不超过2%；</w:t>
      </w:r>
    </w:p>
    <w:p w14:paraId="465A4D3A">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（五）服务正确执行率不得低于98%；</w:t>
      </w:r>
    </w:p>
    <w:p w14:paraId="7C0CF3C1">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（六）服务验收合格率100%；</w:t>
      </w:r>
    </w:p>
    <w:p w14:paraId="58FD7750">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（七）服务配套设备设施完好、整洁、无损坏；</w:t>
      </w:r>
    </w:p>
    <w:p w14:paraId="54AB4E1C">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（八）在</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设备设施容量允许的范围内，客户需求的响应率为100%；</w:t>
      </w:r>
    </w:p>
    <w:p w14:paraId="0D30F3C7">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如中标人提供的服务无法达到以上服务目标，将作为重大失控项目计入考核并收到</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的警告，如中标人连续收到两次警告且无明显改善措施，则</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有权对中标人从重处罚，直至退场。</w:t>
      </w:r>
    </w:p>
    <w:p w14:paraId="26B7DAE8">
      <w:pPr>
        <w:widowControl w:val="0"/>
        <w:adjustRightInd/>
        <w:spacing w:line="360" w:lineRule="auto"/>
        <w:ind w:firstLine="482" w:firstLineChars="200"/>
        <w:jc w:val="left"/>
        <w:outlineLvl w:val="0"/>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三、服务界面</w:t>
      </w:r>
    </w:p>
    <w:p w14:paraId="5403AAB0">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中标人应与</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展览搭建方</w:t>
      </w:r>
      <w:r>
        <w:rPr>
          <w:rFonts w:hint="eastAsia" w:ascii="宋体" w:hAnsi="宋体" w:cs="宋体"/>
          <w:sz w:val="24"/>
          <w:szCs w:val="24"/>
          <w:highlight w:val="none"/>
          <w:lang w:eastAsia="zh-CN"/>
        </w:rPr>
        <w:t>及</w:t>
      </w:r>
      <w:r>
        <w:rPr>
          <w:rFonts w:hint="eastAsia" w:ascii="宋体" w:hAnsi="宋体" w:eastAsia="宋体" w:cs="宋体"/>
          <w:sz w:val="24"/>
          <w:szCs w:val="24"/>
          <w:highlight w:val="none"/>
        </w:rPr>
        <w:t>其他</w:t>
      </w:r>
      <w:r>
        <w:rPr>
          <w:rFonts w:hint="eastAsia" w:ascii="宋体" w:hAnsi="宋体" w:cs="宋体"/>
          <w:sz w:val="24"/>
          <w:szCs w:val="24"/>
          <w:highlight w:val="none"/>
          <w:lang w:eastAsia="zh-CN"/>
        </w:rPr>
        <w:t>现场</w:t>
      </w:r>
      <w:r>
        <w:rPr>
          <w:rFonts w:hint="eastAsia" w:ascii="宋体" w:hAnsi="宋体" w:eastAsia="宋体" w:cs="宋体"/>
          <w:sz w:val="24"/>
          <w:szCs w:val="24"/>
          <w:highlight w:val="none"/>
        </w:rPr>
        <w:t>服务商做好配合，具体界面如下：</w:t>
      </w:r>
    </w:p>
    <w:p w14:paraId="2D0BA987">
      <w:pPr>
        <w:numPr>
          <w:ilvl w:val="0"/>
          <w:numId w:val="0"/>
        </w:numPr>
        <w:adjustRightInd w:val="0"/>
        <w:snapToGri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）配电界面</w:t>
      </w:r>
      <w:r>
        <w:rPr>
          <w:rFonts w:hint="eastAsia" w:ascii="宋体" w:hAnsi="宋体" w:cs="宋体"/>
          <w:sz w:val="24"/>
          <w:szCs w:val="24"/>
          <w:highlight w:val="none"/>
          <w:lang w:val="en-US" w:eastAsia="zh-CN"/>
        </w:rPr>
        <w:t xml:space="preserve"> </w:t>
      </w:r>
    </w:p>
    <w:p w14:paraId="286364AF">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中标人以</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提供的</w:t>
      </w:r>
      <w:r>
        <w:rPr>
          <w:rFonts w:hint="eastAsia" w:ascii="宋体" w:hAnsi="宋体" w:cs="宋体"/>
          <w:sz w:val="24"/>
          <w:szCs w:val="24"/>
          <w:highlight w:val="none"/>
          <w:lang w:eastAsia="zh-CN"/>
        </w:rPr>
        <w:t>展沟内的配电</w:t>
      </w:r>
      <w:r>
        <w:rPr>
          <w:rFonts w:hint="eastAsia" w:ascii="宋体" w:hAnsi="宋体" w:eastAsia="宋体" w:cs="宋体"/>
          <w:sz w:val="24"/>
          <w:szCs w:val="24"/>
          <w:highlight w:val="none"/>
        </w:rPr>
        <w:t>箱</w:t>
      </w:r>
      <w:r>
        <w:rPr>
          <w:rFonts w:hint="eastAsia" w:ascii="宋体" w:hAnsi="宋体" w:cs="宋体"/>
          <w:sz w:val="24"/>
          <w:szCs w:val="24"/>
          <w:highlight w:val="none"/>
          <w:lang w:eastAsia="zh-CN"/>
        </w:rPr>
        <w:t>及展馆内外配电</w:t>
      </w:r>
      <w:r>
        <w:rPr>
          <w:rFonts w:hint="eastAsia" w:ascii="宋体" w:hAnsi="宋体" w:eastAsia="宋体" w:cs="宋体"/>
          <w:sz w:val="24"/>
          <w:szCs w:val="24"/>
          <w:highlight w:val="none"/>
        </w:rPr>
        <w:t>柜连接器插头或电缆（线） 铜鼻子为界，以下为中标人职责，以上为</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职责。</w:t>
      </w:r>
    </w:p>
    <w:p w14:paraId="786938BE">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中标人与</w:t>
      </w:r>
      <w:bookmarkStart w:id="17" w:name="OLE_LINK29"/>
      <w:r>
        <w:rPr>
          <w:rFonts w:hint="eastAsia" w:ascii="宋体" w:hAnsi="宋体" w:eastAsia="宋体" w:cs="宋体"/>
          <w:sz w:val="24"/>
          <w:szCs w:val="24"/>
          <w:highlight w:val="none"/>
        </w:rPr>
        <w:t>展览搭建方</w:t>
      </w:r>
      <w:bookmarkEnd w:id="17"/>
      <w:r>
        <w:rPr>
          <w:rFonts w:hint="eastAsia" w:ascii="宋体" w:hAnsi="宋体" w:eastAsia="宋体" w:cs="宋体"/>
          <w:sz w:val="24"/>
          <w:szCs w:val="24"/>
          <w:highlight w:val="none"/>
        </w:rPr>
        <w:t>以中标人提供</w:t>
      </w:r>
      <w:r>
        <w:rPr>
          <w:rFonts w:hint="eastAsia" w:ascii="宋体" w:hAnsi="宋体" w:cs="宋体"/>
          <w:sz w:val="24"/>
          <w:szCs w:val="24"/>
          <w:highlight w:val="none"/>
          <w:lang w:eastAsia="zh-CN"/>
        </w:rPr>
        <w:t>配电箱</w:t>
      </w:r>
      <w:r>
        <w:rPr>
          <w:rFonts w:hint="eastAsia" w:ascii="宋体" w:hAnsi="宋体" w:eastAsia="宋体" w:cs="宋体"/>
          <w:sz w:val="24"/>
          <w:szCs w:val="24"/>
          <w:highlight w:val="none"/>
        </w:rPr>
        <w:t>为界，以上为中标人职责，展览搭建方提供</w:t>
      </w:r>
      <w:r>
        <w:rPr>
          <w:rFonts w:hint="eastAsia" w:ascii="宋体" w:hAnsi="宋体" w:cs="宋体"/>
          <w:sz w:val="24"/>
          <w:szCs w:val="24"/>
          <w:highlight w:val="none"/>
          <w:lang w:eastAsia="zh-CN"/>
        </w:rPr>
        <w:t>配电箱及</w:t>
      </w:r>
      <w:r>
        <w:rPr>
          <w:rFonts w:hint="eastAsia" w:ascii="宋体" w:hAnsi="宋体" w:eastAsia="宋体" w:cs="宋体"/>
          <w:sz w:val="24"/>
          <w:szCs w:val="24"/>
          <w:highlight w:val="none"/>
        </w:rPr>
        <w:t>连接件以下为展览搭建方职责。</w:t>
      </w:r>
    </w:p>
    <w:p w14:paraId="6C26A3E8">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bookmarkStart w:id="18" w:name="OLE_LINK28"/>
      <w:r>
        <w:rPr>
          <w:rFonts w:hint="eastAsia" w:ascii="宋体" w:hAnsi="宋体" w:eastAsia="宋体" w:cs="宋体"/>
          <w:sz w:val="24"/>
          <w:szCs w:val="24"/>
          <w:highlight w:val="none"/>
        </w:rPr>
        <w:t>（二）</w:t>
      </w:r>
      <w:bookmarkEnd w:id="18"/>
      <w:r>
        <w:rPr>
          <w:rFonts w:hint="eastAsia" w:ascii="宋体" w:hAnsi="宋体" w:eastAsia="宋体" w:cs="宋体"/>
          <w:sz w:val="24"/>
          <w:szCs w:val="24"/>
          <w:highlight w:val="none"/>
        </w:rPr>
        <w:t>配水界面</w:t>
      </w:r>
    </w:p>
    <w:p w14:paraId="27D50776">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中标人以</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提供的</w:t>
      </w:r>
      <w:r>
        <w:rPr>
          <w:rFonts w:hint="eastAsia" w:ascii="宋体" w:hAnsi="宋体" w:cs="宋体"/>
          <w:sz w:val="24"/>
          <w:szCs w:val="24"/>
          <w:highlight w:val="none"/>
          <w:lang w:eastAsia="zh-CN"/>
        </w:rPr>
        <w:t>展沟</w:t>
      </w:r>
      <w:r>
        <w:rPr>
          <w:rFonts w:hint="eastAsia" w:ascii="宋体" w:hAnsi="宋体" w:eastAsia="宋体" w:cs="宋体"/>
          <w:sz w:val="24"/>
          <w:szCs w:val="24"/>
          <w:highlight w:val="none"/>
        </w:rPr>
        <w:t>水管及连接件为界，以下为中标人职责，展位箱出水管接头以上为</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职责。</w:t>
      </w:r>
    </w:p>
    <w:p w14:paraId="1DC07FAA">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bookmarkStart w:id="19" w:name="OLE_LINK26"/>
      <w:r>
        <w:rPr>
          <w:rFonts w:hint="eastAsia" w:ascii="宋体" w:hAnsi="宋体" w:eastAsia="宋体" w:cs="宋体"/>
          <w:sz w:val="24"/>
          <w:szCs w:val="24"/>
          <w:highlight w:val="none"/>
        </w:rPr>
        <w:t>中标人与展览搭建方以中标人提供的水管及连接件为界，以上为中标人职责，展览搭建方提供的水管及连接件以下为展览搭建方职责。</w:t>
      </w:r>
    </w:p>
    <w:bookmarkEnd w:id="19"/>
    <w:p w14:paraId="55475377">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（三）配气界面</w:t>
      </w:r>
    </w:p>
    <w:p w14:paraId="1AF11C68">
      <w:pPr>
        <w:numPr>
          <w:ilvl w:val="0"/>
          <w:numId w:val="0"/>
        </w:num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中标人以</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提供的</w:t>
      </w:r>
      <w:bookmarkStart w:id="20" w:name="OLE_LINK10"/>
      <w:r>
        <w:rPr>
          <w:rFonts w:hint="eastAsia" w:ascii="宋体" w:hAnsi="宋体" w:cs="宋体"/>
          <w:sz w:val="24"/>
          <w:szCs w:val="24"/>
          <w:highlight w:val="none"/>
          <w:lang w:eastAsia="zh-CN"/>
        </w:rPr>
        <w:t>展沟</w:t>
      </w:r>
      <w:bookmarkEnd w:id="20"/>
      <w:r>
        <w:rPr>
          <w:rFonts w:hint="eastAsia" w:ascii="宋体" w:hAnsi="宋体" w:eastAsia="宋体" w:cs="宋体"/>
          <w:sz w:val="24"/>
          <w:szCs w:val="24"/>
          <w:highlight w:val="none"/>
        </w:rPr>
        <w:t>气管</w:t>
      </w:r>
      <w:r>
        <w:rPr>
          <w:rFonts w:hint="eastAsia" w:ascii="宋体" w:hAnsi="宋体" w:cs="宋体"/>
          <w:sz w:val="24"/>
          <w:szCs w:val="24"/>
          <w:highlight w:val="none"/>
          <w:lang w:eastAsia="zh-CN"/>
        </w:rPr>
        <w:t>快接头</w:t>
      </w:r>
      <w:r>
        <w:rPr>
          <w:rFonts w:hint="eastAsia" w:ascii="宋体" w:hAnsi="宋体" w:eastAsia="宋体" w:cs="宋体"/>
          <w:sz w:val="24"/>
          <w:szCs w:val="24"/>
          <w:highlight w:val="none"/>
        </w:rPr>
        <w:t>为界，以下为中标人职责，展位箱压缩空气管接头以上为</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职责。</w:t>
      </w:r>
    </w:p>
    <w:p w14:paraId="74C67FF8">
      <w:pPr>
        <w:adjustRightInd w:val="0"/>
        <w:snapToGrid w:val="0"/>
        <w:spacing w:line="360" w:lineRule="auto"/>
        <w:ind w:firstLine="480" w:firstLineChars="200"/>
        <w:jc w:val="left"/>
        <w:rPr>
          <w:rFonts w:hint="eastAsia"/>
          <w:highlight w:val="none"/>
        </w:rPr>
      </w:pPr>
      <w:r>
        <w:rPr>
          <w:rFonts w:hint="eastAsia" w:ascii="宋体" w:hAnsi="宋体" w:eastAsia="宋体" w:cs="宋体"/>
          <w:sz w:val="24"/>
          <w:szCs w:val="24"/>
          <w:highlight w:val="none"/>
        </w:rPr>
        <w:t>中标人与展览搭建方以中标人提供气管</w:t>
      </w:r>
      <w:r>
        <w:rPr>
          <w:rFonts w:hint="eastAsia" w:ascii="宋体" w:hAnsi="宋体" w:cs="宋体"/>
          <w:sz w:val="24"/>
          <w:szCs w:val="24"/>
          <w:highlight w:val="none"/>
          <w:lang w:eastAsia="zh-CN"/>
        </w:rPr>
        <w:t>快接头</w:t>
      </w:r>
      <w:r>
        <w:rPr>
          <w:rFonts w:hint="eastAsia" w:ascii="宋体" w:hAnsi="宋体" w:eastAsia="宋体" w:cs="宋体"/>
          <w:sz w:val="24"/>
          <w:szCs w:val="24"/>
          <w:highlight w:val="none"/>
        </w:rPr>
        <w:t>为界，以上为中标人职责，展览搭建方提供的气管及连接件以下为展览搭建方职责。</w:t>
      </w:r>
    </w:p>
    <w:p w14:paraId="75BB87D7">
      <w:pPr>
        <w:widowControl w:val="0"/>
        <w:adjustRightInd/>
        <w:spacing w:line="360" w:lineRule="auto"/>
        <w:ind w:firstLine="482" w:firstLineChars="200"/>
        <w:jc w:val="left"/>
        <w:outlineLvl w:val="0"/>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四、商务需求</w:t>
      </w:r>
    </w:p>
    <w:p w14:paraId="409730D4">
      <w:pPr>
        <w:tabs>
          <w:tab w:val="left" w:pos="525"/>
        </w:tabs>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21" w:name="OLE_LINK27"/>
      <w:r>
        <w:rPr>
          <w:rFonts w:hint="eastAsia" w:ascii="宋体" w:hAnsi="宋体" w:cs="宋体"/>
          <w:sz w:val="24"/>
          <w:szCs w:val="24"/>
          <w:highlight w:val="none"/>
          <w:lang w:val="en-US" w:eastAsia="zh-CN"/>
        </w:rPr>
        <w:t>.</w:t>
      </w:r>
      <w:bookmarkEnd w:id="21"/>
      <w:r>
        <w:rPr>
          <w:rFonts w:hint="eastAsia" w:ascii="宋体" w:hAnsi="宋体" w:eastAsia="宋体" w:cs="宋体"/>
          <w:sz w:val="24"/>
          <w:szCs w:val="24"/>
          <w:highlight w:val="none"/>
        </w:rPr>
        <w:t>合同期限：</w:t>
      </w:r>
      <w:r>
        <w:rPr>
          <w:rFonts w:hint="eastAsia" w:ascii="宋体" w:hAnsi="宋体" w:eastAsia="宋体" w:cs="宋体"/>
          <w:sz w:val="24"/>
          <w:szCs w:val="24"/>
          <w:highlight w:val="none"/>
          <w:lang w:eastAsia="zh-CN"/>
        </w:rPr>
        <w:t>本项目服务期</w:t>
      </w:r>
      <w:r>
        <w:rPr>
          <w:rFonts w:hint="eastAsia" w:ascii="宋体" w:hAnsi="宋体" w:cs="宋体"/>
          <w:sz w:val="24"/>
          <w:szCs w:val="24"/>
          <w:highlight w:val="none"/>
          <w:lang w:val="en-US" w:eastAsia="zh-CN"/>
        </w:rPr>
        <w:t>3年，</w:t>
      </w:r>
      <w:r>
        <w:rPr>
          <w:rFonts w:hint="eastAsia" w:ascii="宋体" w:hAnsi="宋体" w:eastAsia="宋体" w:cs="宋体"/>
          <w:sz w:val="24"/>
          <w:szCs w:val="24"/>
          <w:highlight w:val="none"/>
          <w:lang w:eastAsia="zh-CN"/>
        </w:rPr>
        <w:t>采用“</w:t>
      </w:r>
      <w:r>
        <w:rPr>
          <w:rFonts w:hint="eastAsia" w:ascii="宋体" w:hAnsi="宋体" w:eastAsia="宋体" w:cs="宋体"/>
          <w:sz w:val="24"/>
          <w:szCs w:val="24"/>
          <w:highlight w:val="none"/>
          <w:lang w:val="en-US" w:eastAsia="zh-CN"/>
        </w:rPr>
        <w:t>1+1+1</w:t>
      </w:r>
      <w:r>
        <w:rPr>
          <w:rFonts w:hint="eastAsia" w:ascii="宋体" w:hAnsi="宋体" w:eastAsia="宋体" w:cs="宋体"/>
          <w:sz w:val="24"/>
          <w:szCs w:val="24"/>
          <w:highlight w:val="none"/>
          <w:lang w:eastAsia="zh-CN"/>
        </w:rPr>
        <w:t>”的模式，合同一年一签，首个服务</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rPr>
        <w:t>1年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自合同签订后</w:t>
      </w:r>
      <w:r>
        <w:rPr>
          <w:rFonts w:hint="eastAsia" w:ascii="宋体" w:hAnsi="宋体" w:eastAsia="宋体" w:cs="宋体"/>
          <w:sz w:val="24"/>
          <w:szCs w:val="24"/>
          <w:highlight w:val="none"/>
          <w:lang w:eastAsia="zh-CN"/>
        </w:rPr>
        <w:t>开始</w:t>
      </w:r>
      <w:r>
        <w:rPr>
          <w:rFonts w:hint="eastAsia" w:ascii="宋体" w:hAnsi="宋体" w:eastAsia="宋体" w:cs="宋体"/>
          <w:sz w:val="24"/>
          <w:szCs w:val="24"/>
          <w:highlight w:val="none"/>
        </w:rPr>
        <w:t>。中标</w:t>
      </w:r>
      <w:r>
        <w:rPr>
          <w:rFonts w:hint="eastAsia" w:ascii="宋体" w:hAnsi="宋体" w:cs="宋体"/>
          <w:sz w:val="24"/>
          <w:szCs w:val="24"/>
          <w:highlight w:val="none"/>
          <w:lang w:eastAsia="zh-CN"/>
        </w:rPr>
        <w:t>人</w:t>
      </w:r>
      <w:r>
        <w:rPr>
          <w:rFonts w:hint="eastAsia" w:ascii="宋体" w:hAnsi="宋体" w:eastAsia="宋体" w:cs="宋体"/>
          <w:sz w:val="24"/>
          <w:szCs w:val="24"/>
          <w:highlight w:val="none"/>
        </w:rPr>
        <w:t>提供的服务达到</w:t>
      </w:r>
      <w:bookmarkStart w:id="22" w:name="OLE_LINK32"/>
      <w:r>
        <w:rPr>
          <w:rFonts w:hint="eastAsia" w:ascii="宋体" w:hAnsi="宋体" w:cs="宋体"/>
          <w:sz w:val="24"/>
          <w:szCs w:val="24"/>
          <w:highlight w:val="none"/>
          <w:lang w:eastAsia="zh-CN"/>
        </w:rPr>
        <w:t>招标人</w:t>
      </w:r>
      <w:bookmarkEnd w:id="22"/>
      <w:r>
        <w:rPr>
          <w:rFonts w:hint="eastAsia" w:ascii="宋体" w:hAnsi="宋体" w:eastAsia="宋体" w:cs="宋体"/>
          <w:sz w:val="24"/>
          <w:szCs w:val="24"/>
          <w:highlight w:val="none"/>
        </w:rPr>
        <w:t>的要求，合同期间没有严重违规行为</w:t>
      </w:r>
      <w:r>
        <w:rPr>
          <w:rFonts w:hint="eastAsia" w:ascii="宋体" w:hAnsi="宋体" w:eastAsia="宋体" w:cs="宋体"/>
          <w:sz w:val="24"/>
          <w:szCs w:val="24"/>
          <w:highlight w:val="none"/>
          <w:lang w:eastAsia="zh-CN"/>
        </w:rPr>
        <w:t>或安全事故</w:t>
      </w:r>
      <w:r>
        <w:rPr>
          <w:rFonts w:hint="eastAsia" w:ascii="宋体" w:hAnsi="宋体" w:eastAsia="宋体" w:cs="宋体"/>
          <w:sz w:val="24"/>
          <w:szCs w:val="24"/>
          <w:highlight w:val="none"/>
        </w:rPr>
        <w:t>的，合同</w:t>
      </w:r>
      <w:r>
        <w:rPr>
          <w:rFonts w:hint="eastAsia" w:ascii="宋体" w:hAnsi="宋体" w:cs="宋体"/>
          <w:sz w:val="24"/>
          <w:szCs w:val="24"/>
          <w:highlight w:val="none"/>
          <w:lang w:eastAsia="zh-CN"/>
        </w:rPr>
        <w:t>当年</w:t>
      </w:r>
      <w:r>
        <w:rPr>
          <w:rFonts w:hint="eastAsia" w:ascii="宋体" w:hAnsi="宋体" w:eastAsia="宋体" w:cs="宋体"/>
          <w:sz w:val="24"/>
          <w:szCs w:val="24"/>
          <w:highlight w:val="none"/>
        </w:rPr>
        <w:t>期满后，经双方协商同意可续</w:t>
      </w:r>
      <w:r>
        <w:rPr>
          <w:rFonts w:hint="eastAsia" w:ascii="宋体" w:hAnsi="宋体" w:eastAsia="宋体" w:cs="宋体"/>
          <w:sz w:val="24"/>
          <w:szCs w:val="24"/>
          <w:highlight w:val="none"/>
          <w:lang w:eastAsia="zh-CN"/>
        </w:rPr>
        <w:t>签下</w:t>
      </w:r>
      <w:r>
        <w:rPr>
          <w:rFonts w:hint="eastAsia" w:ascii="宋体" w:hAnsi="宋体" w:eastAsia="宋体" w:cs="宋体"/>
          <w:sz w:val="24"/>
          <w:szCs w:val="24"/>
          <w:highlight w:val="none"/>
        </w:rPr>
        <w:t>一年</w:t>
      </w:r>
      <w:r>
        <w:rPr>
          <w:rFonts w:hint="eastAsia" w:ascii="宋体" w:hAnsi="宋体" w:eastAsia="宋体" w:cs="宋体"/>
          <w:sz w:val="24"/>
          <w:szCs w:val="24"/>
          <w:highlight w:val="none"/>
          <w:lang w:eastAsia="zh-CN"/>
        </w:rPr>
        <w:t>度合同</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招标人有权根据业务发展情况决定是否续签合同，</w:t>
      </w:r>
      <w:r>
        <w:rPr>
          <w:rFonts w:hint="eastAsia" w:ascii="宋体" w:hAnsi="宋体" w:eastAsia="宋体" w:cs="宋体"/>
          <w:sz w:val="24"/>
          <w:szCs w:val="24"/>
          <w:highlight w:val="none"/>
          <w:lang w:eastAsia="zh-CN"/>
        </w:rPr>
        <w:t>合同最多续签</w:t>
      </w:r>
      <w:r>
        <w:rPr>
          <w:rFonts w:hint="eastAsia" w:ascii="宋体" w:hAnsi="宋体" w:eastAsia="宋体" w:cs="宋体"/>
          <w:sz w:val="24"/>
          <w:szCs w:val="24"/>
          <w:highlight w:val="none"/>
          <w:lang w:val="en-US" w:eastAsia="zh-CN"/>
        </w:rPr>
        <w:t>2次，每次不超过1年</w:t>
      </w:r>
      <w:bookmarkStart w:id="23" w:name="OLE_LINK33"/>
      <w:r>
        <w:rPr>
          <w:rFonts w:hint="eastAsia" w:ascii="宋体" w:hAnsi="宋体" w:cs="宋体"/>
          <w:sz w:val="24"/>
          <w:szCs w:val="24"/>
          <w:highlight w:val="none"/>
          <w:lang w:eastAsia="zh-CN"/>
        </w:rPr>
        <w:t>。</w:t>
      </w:r>
      <w:bookmarkEnd w:id="23"/>
    </w:p>
    <w:p w14:paraId="13F2B73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具体项目服务期限：按每个项目主办方要求的期限为准。</w:t>
      </w:r>
    </w:p>
    <w:p w14:paraId="16F56649">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具体项目服务地址：</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rPr>
        <w:t>指定地点。</w:t>
      </w:r>
    </w:p>
    <w:p w14:paraId="328EF2B3">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具体服务项目分配：由</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rPr>
        <w:t>根据项目主场需求下单给</w:t>
      </w:r>
      <w:r>
        <w:rPr>
          <w:rFonts w:hint="eastAsia" w:ascii="宋体" w:hAnsi="宋体" w:cs="宋体"/>
          <w:sz w:val="24"/>
          <w:szCs w:val="24"/>
          <w:highlight w:val="none"/>
          <w:lang w:eastAsia="zh-CN"/>
        </w:rPr>
        <w:t>中</w:t>
      </w:r>
      <w:r>
        <w:rPr>
          <w:rFonts w:hint="eastAsia" w:ascii="宋体" w:hAnsi="宋体" w:eastAsia="宋体" w:cs="宋体"/>
          <w:sz w:val="24"/>
          <w:szCs w:val="24"/>
          <w:highlight w:val="none"/>
        </w:rPr>
        <w:t>标人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由中标人</w:t>
      </w:r>
      <w:r>
        <w:rPr>
          <w:rFonts w:hint="eastAsia" w:ascii="宋体" w:hAnsi="宋体" w:eastAsia="宋体" w:cs="宋体"/>
          <w:sz w:val="24"/>
          <w:szCs w:val="24"/>
          <w:highlight w:val="none"/>
        </w:rPr>
        <w:t>提供服务。</w:t>
      </w:r>
    </w:p>
    <w:p w14:paraId="3778856B">
      <w:pPr>
        <w:keepNext w:val="0"/>
        <w:keepLines w:val="0"/>
        <w:pageBreakBefore w:val="0"/>
        <w:widowControl w:val="0"/>
        <w:numPr>
          <w:ilvl w:val="0"/>
          <w:numId w:val="0"/>
        </w:numPr>
        <w:tabs>
          <w:tab w:val="left" w:pos="425"/>
          <w:tab w:val="left" w:pos="127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结算及付款方式：费用由</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lang w:val="en-US" w:eastAsia="zh-CN"/>
        </w:rPr>
        <w:t>与主办方结算，在收到主办方所有费用后</w:t>
      </w:r>
      <w:r>
        <w:rPr>
          <w:rFonts w:hint="eastAsia" w:ascii="宋体" w:hAnsi="宋体" w:cs="宋体"/>
          <w:sz w:val="24"/>
          <w:szCs w:val="24"/>
          <w:highlight w:val="none"/>
          <w:lang w:val="en-US" w:eastAsia="zh-CN"/>
        </w:rPr>
        <w:t>30天内</w:t>
      </w:r>
      <w:r>
        <w:rPr>
          <w:rFonts w:hint="eastAsia" w:ascii="宋体" w:hAnsi="宋体" w:eastAsia="宋体" w:cs="宋体"/>
          <w:sz w:val="24"/>
          <w:szCs w:val="24"/>
          <w:highlight w:val="none"/>
          <w:lang w:val="en-US" w:eastAsia="zh-CN"/>
        </w:rPr>
        <w:t>，中标人开具足额发票</w:t>
      </w:r>
      <w:r>
        <w:rPr>
          <w:rFonts w:hint="eastAsia" w:ascii="宋体" w:hAnsi="宋体" w:cs="宋体"/>
          <w:sz w:val="24"/>
          <w:szCs w:val="24"/>
          <w:highlight w:val="none"/>
          <w:lang w:val="en-US" w:eastAsia="zh-CN"/>
        </w:rPr>
        <w:t>后，招标人</w:t>
      </w:r>
      <w:r>
        <w:rPr>
          <w:rFonts w:hint="eastAsia" w:ascii="宋体" w:hAnsi="宋体" w:eastAsia="宋体" w:cs="宋体"/>
          <w:sz w:val="24"/>
          <w:szCs w:val="24"/>
          <w:highlight w:val="none"/>
          <w:lang w:val="en-US" w:eastAsia="zh-CN"/>
        </w:rPr>
        <w:t>按本次中标</w:t>
      </w:r>
      <w:r>
        <w:rPr>
          <w:rFonts w:hint="eastAsia" w:ascii="宋体" w:hAnsi="宋体" w:cs="宋体"/>
          <w:sz w:val="24"/>
          <w:szCs w:val="24"/>
          <w:highlight w:val="none"/>
          <w:lang w:val="en-US" w:eastAsia="zh-CN"/>
        </w:rPr>
        <w:t>结算率</w:t>
      </w:r>
      <w:r>
        <w:rPr>
          <w:rFonts w:hint="eastAsia" w:ascii="宋体" w:hAnsi="宋体" w:eastAsia="宋体" w:cs="宋体"/>
          <w:sz w:val="24"/>
          <w:szCs w:val="24"/>
          <w:highlight w:val="none"/>
          <w:lang w:val="en-US" w:eastAsia="zh-CN"/>
        </w:rPr>
        <w:t>支付给中标人。</w:t>
      </w:r>
      <w:r>
        <w:rPr>
          <w:rFonts w:hint="eastAsia" w:ascii="宋体" w:hAnsi="宋体" w:cs="宋体"/>
          <w:sz w:val="24"/>
          <w:szCs w:val="24"/>
          <w:highlight w:val="none"/>
          <w:lang w:val="en-US" w:eastAsia="zh-CN"/>
        </w:rPr>
        <w:t>原展沟配电箱所涉及到的维修、保养的更换材料，在每次展会结束后中标人上报给招标人清单，由双方对清单进行核实，费用每半年结算一次。</w:t>
      </w:r>
    </w:p>
    <w:p w14:paraId="74849589">
      <w:pPr>
        <w:keepNext w:val="0"/>
        <w:keepLines w:val="0"/>
        <w:pageBreakBefore w:val="0"/>
        <w:widowControl w:val="0"/>
        <w:numPr>
          <w:ilvl w:val="0"/>
          <w:numId w:val="0"/>
        </w:numPr>
        <w:tabs>
          <w:tab w:val="left" w:pos="425"/>
          <w:tab w:val="left" w:pos="1271"/>
        </w:tabs>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r>
        <w:rPr>
          <w:rFonts w:hint="eastAsia" w:ascii="宋体" w:hAnsi="宋体" w:cs="宋体"/>
          <w:sz w:val="24"/>
          <w:szCs w:val="24"/>
          <w:highlight w:val="none"/>
          <w:lang w:val="en-US" w:eastAsia="zh-CN"/>
        </w:rPr>
        <w:t>.</w:t>
      </w:r>
      <w:r>
        <w:rPr>
          <w:rFonts w:hint="eastAsia" w:ascii="宋体" w:hAnsi="宋体" w:cs="宋体"/>
          <w:kern w:val="2"/>
          <w:sz w:val="24"/>
          <w:szCs w:val="24"/>
          <w:highlight w:val="none"/>
          <w:lang w:val="en-US" w:eastAsia="zh-CN" w:bidi="ar-SA"/>
        </w:rPr>
        <w:t>本项目招标人一年收入费用暂估252万元，最终以实际发生为准。</w:t>
      </w:r>
    </w:p>
    <w:p w14:paraId="45DE7D1C">
      <w:pPr>
        <w:pStyle w:val="57"/>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r>
        <w:rPr>
          <w:rFonts w:hint="eastAsia" w:ascii="宋体" w:hAnsi="宋体" w:cs="宋体"/>
          <w:sz w:val="24"/>
          <w:szCs w:val="24"/>
          <w:highlight w:val="none"/>
          <w:lang w:val="en-US" w:eastAsia="zh-CN"/>
        </w:rPr>
        <w:t>.</w:t>
      </w:r>
      <w:r>
        <w:rPr>
          <w:rFonts w:hint="eastAsia" w:ascii="宋体" w:hAnsi="宋体" w:eastAsia="宋体" w:cs="宋体"/>
          <w:kern w:val="2"/>
          <w:sz w:val="24"/>
          <w:szCs w:val="24"/>
          <w:highlight w:val="none"/>
          <w:lang w:val="en-US" w:eastAsia="zh-CN" w:bidi="ar-SA"/>
        </w:rPr>
        <w:t>本项目采用合作分成模式，招标人依照对应展会、活动、会议等项目的配水、电、气收入与投标人进行分成结算。投标分成费率：投标人就其收取的分成比例进行费率报价，单位为n%（n精确到个位数），合同签订后依照所报费率及实际配水、电、气收入情况据实结算。</w:t>
      </w:r>
      <w:bookmarkStart w:id="36" w:name="_GoBack"/>
      <w:bookmarkEnd w:id="36"/>
    </w:p>
    <w:tbl>
      <w:tblPr>
        <w:tblStyle w:val="168"/>
        <w:tblpPr w:leftFromText="180" w:rightFromText="180" w:vertAnchor="text" w:horzAnchor="page" w:tblpX="3501" w:tblpY="1082"/>
        <w:tblOverlap w:val="never"/>
        <w:tblW w:w="51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
      <w:tblGrid>
        <w:gridCol w:w="2423"/>
        <w:gridCol w:w="2688"/>
      </w:tblGrid>
      <w:tr w14:paraId="77461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286" w:hRule="atLeast"/>
        </w:trPr>
        <w:tc>
          <w:tcPr>
            <w:tcW w:w="5111" w:type="dxa"/>
            <w:gridSpan w:val="2"/>
            <w:shd w:val="clear" w:color="auto" w:fill="FFFFFF" w:themeFill="background1"/>
            <w:vAlign w:val="top"/>
          </w:tcPr>
          <w:p w14:paraId="0E212DE7">
            <w:pPr>
              <w:pStyle w:val="167"/>
              <w:spacing w:before="119" w:line="207" w:lineRule="auto"/>
              <w:ind w:left="1671" w:firstLine="236" w:firstLineChars="100"/>
              <w:rPr>
                <w:sz w:val="24"/>
                <w:szCs w:val="24"/>
                <w:highlight w:val="none"/>
              </w:rPr>
            </w:pPr>
            <w:r>
              <w:rPr>
                <w:spacing w:val="-2"/>
                <w:sz w:val="24"/>
                <w:szCs w:val="24"/>
                <w:highlight w:val="none"/>
                <w14:textOutline w14:w="4358" w14:cap="sq" w14:cmpd="sng">
                  <w14:solidFill>
                    <w14:srgbClr w14:val="000000"/>
                  </w14:solidFill>
                  <w14:prstDash w14:val="solid"/>
                  <w14:bevel/>
                </w14:textOutline>
              </w:rPr>
              <w:t>展厅电源接驳</w:t>
            </w:r>
          </w:p>
        </w:tc>
      </w:tr>
      <w:tr w14:paraId="6ABE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429" w:hRule="atLeast"/>
        </w:trPr>
        <w:tc>
          <w:tcPr>
            <w:tcW w:w="2423" w:type="dxa"/>
            <w:shd w:val="clear" w:color="auto" w:fill="FFFFFF" w:themeFill="background1"/>
            <w:vAlign w:val="top"/>
          </w:tcPr>
          <w:p w14:paraId="1D091F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16A/220V</w:t>
            </w:r>
          </w:p>
        </w:tc>
        <w:tc>
          <w:tcPr>
            <w:tcW w:w="2688" w:type="dxa"/>
            <w:shd w:val="clear" w:color="auto" w:fill="FFFFFF" w:themeFill="background1"/>
            <w:vAlign w:val="top"/>
          </w:tcPr>
          <w:p w14:paraId="3E1C16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条</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展期</w:t>
            </w:r>
          </w:p>
        </w:tc>
      </w:tr>
      <w:tr w14:paraId="48E1C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423" w:hRule="atLeast"/>
        </w:trPr>
        <w:tc>
          <w:tcPr>
            <w:tcW w:w="2423" w:type="dxa"/>
            <w:shd w:val="clear" w:color="auto" w:fill="FFFFFF" w:themeFill="background1"/>
            <w:vAlign w:val="top"/>
          </w:tcPr>
          <w:p w14:paraId="5372FB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16A/380V</w:t>
            </w:r>
          </w:p>
        </w:tc>
        <w:tc>
          <w:tcPr>
            <w:tcW w:w="2688" w:type="dxa"/>
            <w:shd w:val="clear" w:color="auto" w:fill="FFFFFF" w:themeFill="background1"/>
            <w:vAlign w:val="top"/>
          </w:tcPr>
          <w:p w14:paraId="2BD3F5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条</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展期</w:t>
            </w:r>
          </w:p>
        </w:tc>
      </w:tr>
      <w:tr w14:paraId="3A3B5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435" w:hRule="atLeast"/>
        </w:trPr>
        <w:tc>
          <w:tcPr>
            <w:tcW w:w="2423" w:type="dxa"/>
            <w:shd w:val="clear" w:color="auto" w:fill="FFFFFF" w:themeFill="background1"/>
            <w:vAlign w:val="top"/>
          </w:tcPr>
          <w:p w14:paraId="250E4B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32A/380V</w:t>
            </w:r>
          </w:p>
        </w:tc>
        <w:tc>
          <w:tcPr>
            <w:tcW w:w="2688" w:type="dxa"/>
            <w:shd w:val="clear" w:color="auto" w:fill="FFFFFF" w:themeFill="background1"/>
            <w:vAlign w:val="top"/>
          </w:tcPr>
          <w:p w14:paraId="38B63B2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条</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展期</w:t>
            </w:r>
          </w:p>
        </w:tc>
      </w:tr>
      <w:tr w14:paraId="675E5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420" w:hRule="atLeast"/>
        </w:trPr>
        <w:tc>
          <w:tcPr>
            <w:tcW w:w="2423" w:type="dxa"/>
            <w:shd w:val="clear" w:color="auto" w:fill="FFFFFF" w:themeFill="background1"/>
            <w:vAlign w:val="top"/>
          </w:tcPr>
          <w:p w14:paraId="749C19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63A/380V</w:t>
            </w:r>
          </w:p>
        </w:tc>
        <w:tc>
          <w:tcPr>
            <w:tcW w:w="2688" w:type="dxa"/>
            <w:shd w:val="clear" w:color="auto" w:fill="FFFFFF" w:themeFill="background1"/>
            <w:vAlign w:val="top"/>
          </w:tcPr>
          <w:p w14:paraId="12B2D45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条</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展期</w:t>
            </w:r>
          </w:p>
        </w:tc>
      </w:tr>
      <w:tr w14:paraId="1B96A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400" w:hRule="atLeast"/>
        </w:trPr>
        <w:tc>
          <w:tcPr>
            <w:tcW w:w="2423" w:type="dxa"/>
            <w:shd w:val="clear" w:color="auto" w:fill="FFFFFF" w:themeFill="background1"/>
            <w:vAlign w:val="top"/>
          </w:tcPr>
          <w:p w14:paraId="29C6ED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100A/380V</w:t>
            </w:r>
          </w:p>
        </w:tc>
        <w:tc>
          <w:tcPr>
            <w:tcW w:w="2688" w:type="dxa"/>
            <w:shd w:val="clear" w:color="auto" w:fill="FFFFFF" w:themeFill="background1"/>
            <w:vAlign w:val="top"/>
          </w:tcPr>
          <w:p w14:paraId="6649CCD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条</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展期</w:t>
            </w:r>
          </w:p>
        </w:tc>
      </w:tr>
      <w:tr w14:paraId="3D44A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283" w:hRule="atLeast"/>
        </w:trPr>
        <w:tc>
          <w:tcPr>
            <w:tcW w:w="2423" w:type="dxa"/>
            <w:shd w:val="clear" w:color="auto" w:fill="FFFFFF" w:themeFill="background1"/>
            <w:vAlign w:val="top"/>
          </w:tcPr>
          <w:p w14:paraId="5022F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施工用临时电</w:t>
            </w:r>
          </w:p>
        </w:tc>
        <w:tc>
          <w:tcPr>
            <w:tcW w:w="2688" w:type="dxa"/>
            <w:shd w:val="clear" w:color="auto" w:fill="FFFFFF" w:themeFill="background1"/>
            <w:vAlign w:val="top"/>
          </w:tcPr>
          <w:p w14:paraId="3ADB7C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00元/</w:t>
            </w:r>
            <w:r>
              <w:rPr>
                <w:rFonts w:hint="eastAsia" w:ascii="宋体" w:hAnsi="宋体" w:eastAsia="宋体" w:cs="宋体"/>
                <w:color w:val="auto"/>
                <w:sz w:val="24"/>
                <w:highlight w:val="none"/>
                <w:lang w:eastAsia="zh-CN"/>
              </w:rPr>
              <w:t>条</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展期</w:t>
            </w:r>
          </w:p>
        </w:tc>
      </w:tr>
      <w:tr w14:paraId="19E20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103" w:hRule="atLeast"/>
        </w:trPr>
        <w:tc>
          <w:tcPr>
            <w:tcW w:w="5111" w:type="dxa"/>
            <w:gridSpan w:val="2"/>
            <w:shd w:val="clear" w:color="auto" w:fill="FFFFFF" w:themeFill="background1"/>
            <w:vAlign w:val="top"/>
          </w:tcPr>
          <w:p w14:paraId="1FDF8742">
            <w:pPr>
              <w:spacing w:line="360" w:lineRule="auto"/>
              <w:ind w:firstLine="1888" w:firstLineChars="800"/>
              <w:rPr>
                <w:rFonts w:hint="eastAsia" w:ascii="宋体" w:hAnsi="宋体" w:eastAsia="宋体" w:cs="宋体"/>
                <w:color w:val="auto"/>
                <w:sz w:val="24"/>
                <w:highlight w:val="none"/>
              </w:rPr>
            </w:pPr>
            <w:r>
              <w:rPr>
                <w:rFonts w:hint="eastAsia" w:ascii="宋体" w:hAnsi="宋体" w:eastAsia="宋体" w:cs="宋体"/>
                <w:spacing w:val="-2"/>
                <w:kern w:val="2"/>
                <w:sz w:val="24"/>
                <w:szCs w:val="24"/>
                <w:highlight w:val="none"/>
                <w:lang w:val="en-US" w:eastAsia="en-US" w:bidi="ar-SA"/>
                <w14:textOutline w14:w="4358" w14:cap="sq" w14:cmpd="sng">
                  <w14:solidFill>
                    <w14:srgbClr w14:val="000000"/>
                  </w14:solidFill>
                  <w14:prstDash w14:val="solid"/>
                  <w14:bevel/>
                </w14:textOutline>
              </w:rPr>
              <w:t>展台水、气</w:t>
            </w:r>
          </w:p>
        </w:tc>
      </w:tr>
      <w:tr w14:paraId="55A21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514" w:hRule="atLeast"/>
        </w:trPr>
        <w:tc>
          <w:tcPr>
            <w:tcW w:w="2423" w:type="dxa"/>
            <w:shd w:val="clear" w:color="auto" w:fill="FFFFFF" w:themeFill="background1"/>
            <w:vAlign w:val="top"/>
          </w:tcPr>
          <w:p w14:paraId="010B1154">
            <w:pPr>
              <w:spacing w:line="360" w:lineRule="auto"/>
              <w:ind w:firstLine="960" w:firstLineChars="4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w:t>
            </w:r>
          </w:p>
        </w:tc>
        <w:tc>
          <w:tcPr>
            <w:tcW w:w="2688" w:type="dxa"/>
            <w:shd w:val="clear" w:color="auto" w:fill="FFFFFF" w:themeFill="background1"/>
            <w:vAlign w:val="top"/>
          </w:tcPr>
          <w:p w14:paraId="2B125B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00元/展期</w:t>
            </w:r>
          </w:p>
        </w:tc>
      </w:tr>
      <w:tr w14:paraId="4BB00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90" w:hRule="atLeast"/>
        </w:trPr>
        <w:tc>
          <w:tcPr>
            <w:tcW w:w="2423" w:type="dxa"/>
            <w:shd w:val="clear" w:color="auto" w:fill="FFFFFF" w:themeFill="background1"/>
            <w:vAlign w:val="top"/>
          </w:tcPr>
          <w:p w14:paraId="3F982D5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气</w:t>
            </w:r>
          </w:p>
        </w:tc>
        <w:tc>
          <w:tcPr>
            <w:tcW w:w="2688" w:type="dxa"/>
            <w:shd w:val="clear" w:color="auto" w:fill="FFFFFF" w:themeFill="background1"/>
            <w:vAlign w:val="top"/>
          </w:tcPr>
          <w:p w14:paraId="7E4B9A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00元/展期</w:t>
            </w:r>
          </w:p>
        </w:tc>
      </w:tr>
    </w:tbl>
    <w:p w14:paraId="5F5FC471">
      <w:pPr>
        <w:widowControl w:val="0"/>
        <w:adjustRightInd/>
        <w:spacing w:line="360" w:lineRule="auto"/>
        <w:ind w:firstLine="482" w:firstLineChars="200"/>
        <w:jc w:val="left"/>
        <w:outlineLvl w:val="0"/>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五、收费标准</w:t>
      </w:r>
    </w:p>
    <w:p w14:paraId="7D52F13E">
      <w:pPr>
        <w:pStyle w:val="57"/>
        <w:spacing w:line="360" w:lineRule="auto"/>
        <w:ind w:firstLine="480" w:firstLineChars="200"/>
        <w:rPr>
          <w:rFonts w:hint="eastAsia" w:ascii="宋体" w:hAnsi="宋体" w:eastAsia="宋体" w:cs="宋体"/>
          <w:kern w:val="2"/>
          <w:sz w:val="24"/>
          <w:szCs w:val="24"/>
          <w:highlight w:val="none"/>
          <w:lang w:val="en-US" w:eastAsia="zh-CN" w:bidi="ar-SA"/>
        </w:rPr>
      </w:pPr>
    </w:p>
    <w:p w14:paraId="6A41C3E8">
      <w:pPr>
        <w:pStyle w:val="57"/>
        <w:spacing w:line="360" w:lineRule="auto"/>
        <w:ind w:firstLine="723" w:firstLineChars="200"/>
        <w:jc w:val="both"/>
        <w:rPr>
          <w:rFonts w:hint="eastAsia" w:ascii="宋体" w:hAnsi="宋体" w:eastAsia="宋体" w:cs="宋体"/>
          <w:b/>
          <w:bCs/>
          <w:color w:val="auto"/>
          <w:sz w:val="36"/>
          <w:highlight w:val="none"/>
          <w:lang w:eastAsia="zh-CN"/>
        </w:rPr>
      </w:pPr>
    </w:p>
    <w:p w14:paraId="66C02B5B">
      <w:pPr>
        <w:pStyle w:val="57"/>
        <w:spacing w:line="360" w:lineRule="auto"/>
        <w:ind w:firstLine="723" w:firstLineChars="200"/>
        <w:jc w:val="center"/>
        <w:rPr>
          <w:rFonts w:hint="eastAsia" w:ascii="宋体" w:hAnsi="宋体" w:eastAsia="宋体" w:cs="宋体"/>
          <w:b/>
          <w:bCs/>
          <w:color w:val="auto"/>
          <w:sz w:val="36"/>
          <w:highlight w:val="none"/>
          <w:lang w:eastAsia="zh-CN"/>
        </w:rPr>
      </w:pPr>
    </w:p>
    <w:p w14:paraId="3D83F3C0">
      <w:pPr>
        <w:pStyle w:val="57"/>
        <w:spacing w:line="360" w:lineRule="auto"/>
        <w:ind w:firstLine="723" w:firstLineChars="200"/>
        <w:jc w:val="center"/>
        <w:rPr>
          <w:rFonts w:hint="eastAsia" w:ascii="宋体" w:hAnsi="宋体" w:eastAsia="宋体" w:cs="宋体"/>
          <w:b/>
          <w:bCs/>
          <w:color w:val="auto"/>
          <w:sz w:val="36"/>
          <w:highlight w:val="none"/>
          <w:lang w:eastAsia="zh-CN"/>
        </w:rPr>
      </w:pPr>
    </w:p>
    <w:p w14:paraId="2734CE2B">
      <w:pPr>
        <w:pStyle w:val="57"/>
        <w:spacing w:line="360" w:lineRule="auto"/>
        <w:ind w:firstLine="723" w:firstLineChars="200"/>
        <w:jc w:val="center"/>
        <w:rPr>
          <w:rFonts w:hint="eastAsia" w:ascii="宋体" w:hAnsi="宋体" w:eastAsia="宋体" w:cs="宋体"/>
          <w:b/>
          <w:bCs/>
          <w:color w:val="auto"/>
          <w:sz w:val="36"/>
          <w:highlight w:val="none"/>
          <w:lang w:eastAsia="zh-CN"/>
        </w:rPr>
      </w:pPr>
    </w:p>
    <w:p w14:paraId="2EB9B887">
      <w:pPr>
        <w:pStyle w:val="57"/>
        <w:spacing w:line="360" w:lineRule="auto"/>
        <w:ind w:firstLine="723" w:firstLineChars="200"/>
        <w:jc w:val="center"/>
        <w:rPr>
          <w:rFonts w:hint="eastAsia" w:ascii="宋体" w:hAnsi="宋体" w:eastAsia="宋体" w:cs="宋体"/>
          <w:b/>
          <w:bCs/>
          <w:color w:val="auto"/>
          <w:sz w:val="36"/>
          <w:highlight w:val="none"/>
          <w:lang w:eastAsia="zh-CN"/>
        </w:rPr>
      </w:pPr>
    </w:p>
    <w:p w14:paraId="2D884471">
      <w:pPr>
        <w:pStyle w:val="57"/>
        <w:spacing w:line="360" w:lineRule="auto"/>
        <w:ind w:firstLine="723" w:firstLineChars="200"/>
        <w:jc w:val="center"/>
        <w:rPr>
          <w:rFonts w:hint="eastAsia" w:ascii="宋体" w:hAnsi="宋体" w:eastAsia="宋体" w:cs="宋体"/>
          <w:b/>
          <w:bCs/>
          <w:color w:val="auto"/>
          <w:sz w:val="36"/>
          <w:highlight w:val="none"/>
          <w:lang w:eastAsia="zh-CN"/>
        </w:rPr>
      </w:pPr>
    </w:p>
    <w:p w14:paraId="739AE804">
      <w:pPr>
        <w:pStyle w:val="57"/>
        <w:spacing w:line="360" w:lineRule="auto"/>
        <w:jc w:val="both"/>
        <w:rPr>
          <w:rFonts w:hint="eastAsia" w:ascii="宋体" w:hAnsi="宋体" w:eastAsia="宋体" w:cs="宋体"/>
          <w:b/>
          <w:bCs/>
          <w:color w:val="auto"/>
          <w:sz w:val="36"/>
          <w:highlight w:val="none"/>
          <w:lang w:eastAsia="zh-CN"/>
        </w:rPr>
      </w:pPr>
    </w:p>
    <w:p w14:paraId="59FEB5D8">
      <w:pPr>
        <w:spacing w:line="360" w:lineRule="auto"/>
        <w:ind w:firstLine="480" w:firstLineChars="200"/>
        <w:rPr>
          <w:rFonts w:hint="eastAsia" w:ascii="宋体" w:hAnsi="宋体" w:eastAsia="宋体" w:cs="宋体"/>
          <w:color w:val="auto"/>
          <w:sz w:val="24"/>
          <w:highlight w:val="none"/>
          <w:lang w:val="en-US" w:eastAsia="zh-CN"/>
        </w:rPr>
      </w:pPr>
    </w:p>
    <w:p w14:paraId="249EC2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所有电费按标准展期5天，会议期3天计算（指申报展期及会议期），逾期一天多增收10%。</w:t>
      </w:r>
    </w:p>
    <w:p w14:paraId="3603172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项目进场后已定需求无法更改，临时新增的水电气需求费用增收30%</w:t>
      </w:r>
      <w:r>
        <w:rPr>
          <w:rFonts w:hint="eastAsia" w:ascii="宋体" w:hAnsi="宋体" w:eastAsia="宋体" w:cs="宋体"/>
          <w:color w:val="auto"/>
          <w:sz w:val="24"/>
          <w:highlight w:val="none"/>
          <w:lang w:eastAsia="zh-CN"/>
        </w:rPr>
        <w:t>，开展后再新增水电气需求费用增收</w:t>
      </w:r>
      <w:r>
        <w:rPr>
          <w:rFonts w:hint="eastAsia" w:ascii="宋体" w:hAnsi="宋体" w:eastAsia="宋体" w:cs="宋体"/>
          <w:color w:val="auto"/>
          <w:sz w:val="24"/>
          <w:highlight w:val="none"/>
          <w:lang w:val="en-US" w:eastAsia="zh-CN"/>
        </w:rPr>
        <w:t>50%。</w:t>
      </w:r>
    </w:p>
    <w:p w14:paraId="57467A7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二十四</w:t>
      </w:r>
      <w:r>
        <w:rPr>
          <w:rFonts w:hint="eastAsia" w:ascii="宋体" w:hAnsi="宋体" w:eastAsia="宋体" w:cs="宋体"/>
          <w:color w:val="auto"/>
          <w:sz w:val="24"/>
          <w:highlight w:val="none"/>
          <w:lang w:val="en-US" w:eastAsia="zh-CN"/>
        </w:rPr>
        <w:t>小时用电及展厅外电源接驳费用增收100%。</w:t>
      </w:r>
    </w:p>
    <w:p w14:paraId="37B11A21">
      <w:pPr>
        <w:spacing w:line="360" w:lineRule="auto"/>
        <w:ind w:firstLine="480" w:firstLineChars="200"/>
        <w:rPr>
          <w:rFonts w:hint="default"/>
          <w:highlight w:val="none"/>
          <w:lang w:val="en-US" w:eastAsia="zh-CN"/>
        </w:rPr>
      </w:pPr>
      <w:r>
        <w:rPr>
          <w:rFonts w:hint="eastAsia" w:hAnsi="宋体" w:cs="宋体"/>
          <w:color w:val="auto"/>
          <w:sz w:val="24"/>
          <w:highlight w:val="none"/>
          <w:lang w:val="en-US" w:eastAsia="zh-CN"/>
        </w:rPr>
        <w:t>4.若涉及特殊情况，以实际结算金额为准。</w:t>
      </w:r>
    </w:p>
    <w:p w14:paraId="43A0E0AE">
      <w:pPr>
        <w:pStyle w:val="57"/>
        <w:spacing w:line="360" w:lineRule="auto"/>
        <w:ind w:firstLine="723" w:firstLineChars="200"/>
        <w:jc w:val="center"/>
        <w:rPr>
          <w:rFonts w:hint="eastAsia" w:ascii="宋体" w:hAnsi="宋体" w:eastAsia="宋体" w:cs="宋体"/>
          <w:b/>
          <w:bCs/>
          <w:color w:val="auto"/>
          <w:sz w:val="36"/>
          <w:highlight w:val="none"/>
          <w:lang w:eastAsia="zh-CN"/>
        </w:rPr>
      </w:pPr>
    </w:p>
    <w:p w14:paraId="589543CD">
      <w:pPr>
        <w:pStyle w:val="57"/>
        <w:spacing w:line="360" w:lineRule="auto"/>
        <w:ind w:firstLine="723" w:firstLineChars="200"/>
        <w:jc w:val="center"/>
        <w:rPr>
          <w:rFonts w:hint="default" w:ascii="宋体" w:hAnsi="宋体" w:eastAsia="宋体" w:cs="宋体"/>
          <w:b/>
          <w:bCs/>
          <w:color w:val="auto"/>
          <w:sz w:val="36"/>
          <w:highlight w:val="none"/>
          <w:lang w:val="en-US" w:eastAsia="zh-CN"/>
        </w:rPr>
        <w:sectPr>
          <w:footerReference r:id="rId5" w:type="default"/>
          <w:pgSz w:w="11905" w:h="16838"/>
          <w:pgMar w:top="1247" w:right="1361" w:bottom="1247" w:left="1361" w:header="851" w:footer="850" w:gutter="0"/>
          <w:pgBorders>
            <w:top w:val="none" w:sz="0" w:space="0"/>
            <w:left w:val="none" w:sz="0" w:space="0"/>
            <w:bottom w:val="none" w:sz="0" w:space="0"/>
            <w:right w:val="none" w:sz="0" w:space="0"/>
          </w:pgBorders>
          <w:pgNumType w:fmt="decimal"/>
          <w:cols w:space="0" w:num="1"/>
          <w:rtlGutter w:val="0"/>
          <w:docGrid w:type="lines" w:linePitch="382" w:charSpace="0"/>
        </w:sectPr>
      </w:pPr>
    </w:p>
    <w:p w14:paraId="4571738A">
      <w:pPr>
        <w:snapToGrid w:val="0"/>
        <w:spacing w:before="120" w:beforeLines="50" w:after="120" w:afterLines="50" w:line="360" w:lineRule="auto"/>
        <w:ind w:left="238"/>
        <w:jc w:val="center"/>
        <w:rPr>
          <w:rFonts w:ascii="宋体" w:hAnsi="宋体" w:cs="宋体"/>
          <w:b/>
          <w:color w:val="auto"/>
          <w:sz w:val="32"/>
          <w:szCs w:val="20"/>
          <w:highlight w:val="none"/>
        </w:rPr>
      </w:pPr>
      <w:r>
        <w:rPr>
          <w:rFonts w:hint="eastAsia" w:ascii="宋体" w:hAnsi="宋体" w:cs="宋体"/>
          <w:b/>
          <w:color w:val="auto"/>
          <w:highlight w:val="none"/>
        </w:rPr>
        <w:t>第三章  投标人须知</w:t>
      </w:r>
    </w:p>
    <w:p w14:paraId="0E5C15AB">
      <w:pPr>
        <w:snapToGrid w:val="0"/>
        <w:spacing w:before="120" w:beforeLines="50" w:after="120" w:afterLines="50" w:line="360" w:lineRule="auto"/>
        <w:ind w:left="238"/>
        <w:jc w:val="center"/>
        <w:outlineLvl w:val="1"/>
        <w:rPr>
          <w:rFonts w:ascii="宋体" w:hAnsi="宋体" w:cs="宋体"/>
          <w:b/>
          <w:color w:val="auto"/>
          <w:szCs w:val="28"/>
          <w:highlight w:val="none"/>
        </w:rPr>
      </w:pPr>
      <w:r>
        <w:rPr>
          <w:rFonts w:hint="eastAsia" w:ascii="宋体" w:hAnsi="宋体" w:cs="宋体"/>
          <w:b/>
          <w:color w:val="auto"/>
          <w:szCs w:val="28"/>
          <w:highlight w:val="none"/>
        </w:rPr>
        <w:t>前 附 表</w:t>
      </w:r>
    </w:p>
    <w:tbl>
      <w:tblPr>
        <w:tblStyle w:val="49"/>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
        <w:gridCol w:w="8570"/>
      </w:tblGrid>
      <w:tr w14:paraId="2EF84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9" w:type="dxa"/>
            <w:tcBorders>
              <w:top w:val="single" w:color="auto" w:sz="4" w:space="0"/>
              <w:left w:val="single" w:color="auto" w:sz="4" w:space="0"/>
              <w:bottom w:val="single" w:color="auto" w:sz="4" w:space="0"/>
              <w:right w:val="single" w:color="auto" w:sz="4" w:space="0"/>
            </w:tcBorders>
            <w:vAlign w:val="center"/>
          </w:tcPr>
          <w:p w14:paraId="1BDF0177">
            <w:pPr>
              <w:keepNext w:val="0"/>
              <w:keepLines w:val="0"/>
              <w:pageBreakBefore w:val="0"/>
              <w:widowControl w:val="0"/>
              <w:kinsoku/>
              <w:wordWrap/>
              <w:overflowPunct/>
              <w:topLinePunct w:val="0"/>
              <w:bidi w:val="0"/>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8570" w:type="dxa"/>
            <w:tcBorders>
              <w:top w:val="single" w:color="auto" w:sz="4" w:space="0"/>
              <w:left w:val="single" w:color="auto" w:sz="4" w:space="0"/>
              <w:bottom w:val="single" w:color="auto" w:sz="4" w:space="0"/>
              <w:right w:val="single" w:color="auto" w:sz="4" w:space="0"/>
            </w:tcBorders>
            <w:vAlign w:val="center"/>
          </w:tcPr>
          <w:p w14:paraId="6F46EAC6">
            <w:pPr>
              <w:keepNext w:val="0"/>
              <w:keepLines w:val="0"/>
              <w:pageBreakBefore w:val="0"/>
              <w:widowControl w:val="0"/>
              <w:kinsoku/>
              <w:wordWrap/>
              <w:overflowPunct/>
              <w:topLinePunct w:val="0"/>
              <w:bidi w:val="0"/>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内容、要求</w:t>
            </w:r>
          </w:p>
        </w:tc>
      </w:tr>
      <w:tr w14:paraId="6188C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89" w:type="dxa"/>
            <w:tcBorders>
              <w:top w:val="single" w:color="auto" w:sz="4" w:space="0"/>
              <w:left w:val="single" w:color="auto" w:sz="4" w:space="0"/>
              <w:bottom w:val="single" w:color="auto" w:sz="4" w:space="0"/>
              <w:right w:val="single" w:color="auto" w:sz="4" w:space="0"/>
            </w:tcBorders>
            <w:vAlign w:val="center"/>
          </w:tcPr>
          <w:p w14:paraId="458F6260">
            <w:pPr>
              <w:snapToGrid w:val="0"/>
              <w:spacing w:line="360" w:lineRule="auto"/>
              <w:jc w:val="center"/>
              <w:rPr>
                <w:rFonts w:ascii="宋体" w:hAnsi="宋体" w:cs="宋体"/>
                <w:color w:val="auto"/>
                <w:sz w:val="21"/>
                <w:szCs w:val="21"/>
                <w:highlight w:val="none"/>
              </w:rPr>
            </w:pPr>
            <w:r>
              <w:rPr>
                <w:rFonts w:ascii="宋体" w:hAnsi="宋体"/>
                <w:color w:val="auto"/>
                <w:sz w:val="21"/>
                <w:szCs w:val="21"/>
                <w:highlight w:val="none"/>
              </w:rPr>
              <w:t>1</w:t>
            </w:r>
          </w:p>
        </w:tc>
        <w:tc>
          <w:tcPr>
            <w:tcW w:w="8570" w:type="dxa"/>
            <w:tcBorders>
              <w:top w:val="single" w:color="auto" w:sz="4" w:space="0"/>
              <w:left w:val="single" w:color="auto" w:sz="4" w:space="0"/>
              <w:bottom w:val="single" w:color="auto" w:sz="4" w:space="0"/>
              <w:right w:val="single" w:color="auto" w:sz="4" w:space="0"/>
            </w:tcBorders>
            <w:vAlign w:val="center"/>
          </w:tcPr>
          <w:p w14:paraId="06B7C7DD">
            <w:pPr>
              <w:keepNext w:val="0"/>
              <w:keepLines w:val="0"/>
              <w:pageBreakBefore w:val="0"/>
              <w:widowControl w:val="0"/>
              <w:kinsoku/>
              <w:wordWrap/>
              <w:overflowPunct/>
              <w:topLinePunct w:val="0"/>
              <w:bidi w:val="0"/>
              <w:snapToGrid w:val="0"/>
              <w:spacing w:line="240" w:lineRule="auto"/>
              <w:ind w:left="1200" w:hanging="1050" w:hangingChars="5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bCs/>
                <w:color w:val="auto"/>
                <w:sz w:val="21"/>
                <w:szCs w:val="21"/>
                <w:highlight w:val="none"/>
                <w:lang w:eastAsia="zh-CN"/>
              </w:rPr>
              <w:t>台州国际博览中心水电气接驳（含维保）服务商采购项目</w:t>
            </w:r>
          </w:p>
        </w:tc>
      </w:tr>
      <w:tr w14:paraId="282C6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9" w:type="dxa"/>
            <w:tcBorders>
              <w:top w:val="single" w:color="auto" w:sz="4" w:space="0"/>
              <w:left w:val="single" w:color="auto" w:sz="4" w:space="0"/>
              <w:bottom w:val="single" w:color="auto" w:sz="4" w:space="0"/>
              <w:right w:val="single" w:color="auto" w:sz="4" w:space="0"/>
            </w:tcBorders>
            <w:vAlign w:val="center"/>
          </w:tcPr>
          <w:p w14:paraId="4CFEB020">
            <w:pPr>
              <w:snapToGrid w:val="0"/>
              <w:spacing w:line="360" w:lineRule="auto"/>
              <w:jc w:val="center"/>
              <w:rPr>
                <w:rFonts w:ascii="宋体" w:hAnsi="宋体" w:cs="宋体"/>
                <w:color w:val="auto"/>
                <w:sz w:val="21"/>
                <w:szCs w:val="21"/>
                <w:highlight w:val="none"/>
              </w:rPr>
            </w:pPr>
            <w:r>
              <w:rPr>
                <w:rFonts w:ascii="宋体" w:hAnsi="宋体"/>
                <w:color w:val="auto"/>
                <w:sz w:val="21"/>
                <w:szCs w:val="21"/>
                <w:highlight w:val="none"/>
              </w:rPr>
              <w:t>2</w:t>
            </w:r>
          </w:p>
        </w:tc>
        <w:tc>
          <w:tcPr>
            <w:tcW w:w="8570" w:type="dxa"/>
            <w:tcBorders>
              <w:top w:val="single" w:color="auto" w:sz="4" w:space="0"/>
              <w:left w:val="single" w:color="auto" w:sz="4" w:space="0"/>
              <w:bottom w:val="single" w:color="auto" w:sz="4" w:space="0"/>
              <w:right w:val="single" w:color="auto" w:sz="4" w:space="0"/>
            </w:tcBorders>
            <w:vAlign w:val="center"/>
          </w:tcPr>
          <w:p w14:paraId="2A035782">
            <w:pPr>
              <w:keepNext w:val="0"/>
              <w:keepLines w:val="0"/>
              <w:pageBreakBefore w:val="0"/>
              <w:widowControl w:val="0"/>
              <w:kinsoku/>
              <w:wordWrap/>
              <w:overflowPunct/>
              <w:topLinePunct w:val="0"/>
              <w:bidi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eastAsia="zh-CN"/>
              </w:rPr>
              <w:t>浙江台博会展有限公司</w:t>
            </w:r>
          </w:p>
        </w:tc>
      </w:tr>
      <w:tr w14:paraId="2A143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9" w:type="dxa"/>
            <w:tcBorders>
              <w:top w:val="single" w:color="auto" w:sz="4" w:space="0"/>
              <w:left w:val="single" w:color="auto" w:sz="4" w:space="0"/>
              <w:bottom w:val="single" w:color="auto" w:sz="4" w:space="0"/>
              <w:right w:val="single" w:color="auto" w:sz="4" w:space="0"/>
            </w:tcBorders>
            <w:vAlign w:val="center"/>
          </w:tcPr>
          <w:p w14:paraId="58280C1C">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3</w:t>
            </w:r>
          </w:p>
        </w:tc>
        <w:tc>
          <w:tcPr>
            <w:tcW w:w="8570" w:type="dxa"/>
            <w:tcBorders>
              <w:top w:val="single" w:color="auto" w:sz="4" w:space="0"/>
              <w:left w:val="single" w:color="auto" w:sz="4" w:space="0"/>
              <w:bottom w:val="single" w:color="auto" w:sz="4" w:space="0"/>
              <w:right w:val="single" w:color="auto" w:sz="4" w:space="0"/>
            </w:tcBorders>
            <w:vAlign w:val="center"/>
          </w:tcPr>
          <w:p w14:paraId="2DFC6C50">
            <w:pPr>
              <w:keepNext w:val="0"/>
              <w:keepLines w:val="0"/>
              <w:pageBreakBefore w:val="0"/>
              <w:widowControl w:val="0"/>
              <w:kinsoku/>
              <w:wordWrap/>
              <w:overflowPunct/>
              <w:topLinePunct w:val="0"/>
              <w:bidi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投标保证金：</w:t>
            </w:r>
            <w:r>
              <w:rPr>
                <w:rFonts w:hint="eastAsia" w:ascii="宋体" w:hAnsi="宋体"/>
                <w:color w:val="auto"/>
                <w:sz w:val="21"/>
                <w:szCs w:val="21"/>
                <w:highlight w:val="none"/>
                <w:lang w:val="en-US" w:eastAsia="zh-CN"/>
              </w:rPr>
              <w:t>详见公开招标公告</w:t>
            </w:r>
          </w:p>
        </w:tc>
      </w:tr>
      <w:tr w14:paraId="35952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9" w:type="dxa"/>
            <w:tcBorders>
              <w:top w:val="single" w:color="auto" w:sz="4" w:space="0"/>
              <w:left w:val="single" w:color="auto" w:sz="4" w:space="0"/>
              <w:bottom w:val="single" w:color="auto" w:sz="4" w:space="0"/>
              <w:right w:val="single" w:color="auto" w:sz="4" w:space="0"/>
            </w:tcBorders>
            <w:vAlign w:val="center"/>
          </w:tcPr>
          <w:p w14:paraId="4E1C2DB4">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4</w:t>
            </w:r>
          </w:p>
        </w:tc>
        <w:tc>
          <w:tcPr>
            <w:tcW w:w="8570" w:type="dxa"/>
            <w:tcBorders>
              <w:top w:val="single" w:color="auto" w:sz="4" w:space="0"/>
              <w:left w:val="single" w:color="auto" w:sz="4" w:space="0"/>
              <w:bottom w:val="single" w:color="auto" w:sz="4" w:space="0"/>
              <w:right w:val="single" w:color="auto" w:sz="4" w:space="0"/>
            </w:tcBorders>
            <w:vAlign w:val="center"/>
          </w:tcPr>
          <w:p w14:paraId="7000B2E5">
            <w:pPr>
              <w:keepNext w:val="0"/>
              <w:keepLines w:val="0"/>
              <w:pageBreakBefore w:val="0"/>
              <w:widowControl w:val="0"/>
              <w:kinsoku/>
              <w:wordWrap/>
              <w:overflowPunct/>
              <w:topLinePunct w:val="0"/>
              <w:bidi w:val="0"/>
              <w:snapToGrid w:val="0"/>
              <w:spacing w:line="24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现场踏勘：自行踏勘</w:t>
            </w:r>
          </w:p>
        </w:tc>
      </w:tr>
      <w:tr w14:paraId="589FC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89" w:type="dxa"/>
            <w:tcBorders>
              <w:top w:val="single" w:color="auto" w:sz="4" w:space="0"/>
              <w:left w:val="single" w:color="auto" w:sz="4" w:space="0"/>
              <w:bottom w:val="single" w:color="auto" w:sz="4" w:space="0"/>
              <w:right w:val="single" w:color="auto" w:sz="4" w:space="0"/>
            </w:tcBorders>
            <w:vAlign w:val="center"/>
          </w:tcPr>
          <w:p w14:paraId="1BBBDCBB">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5</w:t>
            </w:r>
          </w:p>
        </w:tc>
        <w:tc>
          <w:tcPr>
            <w:tcW w:w="8570" w:type="dxa"/>
            <w:tcBorders>
              <w:top w:val="single" w:color="auto" w:sz="4" w:space="0"/>
              <w:left w:val="single" w:color="auto" w:sz="4" w:space="0"/>
              <w:bottom w:val="single" w:color="auto" w:sz="4" w:space="0"/>
              <w:right w:val="single" w:color="auto" w:sz="4" w:space="0"/>
            </w:tcBorders>
            <w:vAlign w:val="center"/>
          </w:tcPr>
          <w:p w14:paraId="7137EE02">
            <w:pPr>
              <w:keepNext w:val="0"/>
              <w:keepLines w:val="0"/>
              <w:pageBreakBefore w:val="0"/>
              <w:widowControl w:val="0"/>
              <w:kinsoku/>
              <w:wordWrap/>
              <w:overflowPunct/>
              <w:topLinePunct w:val="0"/>
              <w:bidi w:val="0"/>
              <w:snapToGrid w:val="0"/>
              <w:spacing w:line="24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招标文件的澄清：投标人获取招标文件后，对招标文件有异议的，应当在投标截止时间3日前，通过网上投标系统向招标人（招标代理）提出。</w:t>
            </w:r>
          </w:p>
        </w:tc>
      </w:tr>
      <w:tr w14:paraId="2488A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89" w:type="dxa"/>
            <w:tcBorders>
              <w:top w:val="single" w:color="auto" w:sz="4" w:space="0"/>
              <w:left w:val="single" w:color="auto" w:sz="4" w:space="0"/>
              <w:bottom w:val="single" w:color="auto" w:sz="4" w:space="0"/>
              <w:right w:val="single" w:color="auto" w:sz="4" w:space="0"/>
            </w:tcBorders>
            <w:vAlign w:val="center"/>
          </w:tcPr>
          <w:p w14:paraId="2FE1CC28">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6</w:t>
            </w:r>
          </w:p>
        </w:tc>
        <w:tc>
          <w:tcPr>
            <w:tcW w:w="8570" w:type="dxa"/>
            <w:tcBorders>
              <w:top w:val="single" w:color="auto" w:sz="4" w:space="0"/>
              <w:left w:val="single" w:color="auto" w:sz="4" w:space="0"/>
              <w:bottom w:val="single" w:color="auto" w:sz="4" w:space="0"/>
              <w:right w:val="single" w:color="auto" w:sz="4" w:space="0"/>
            </w:tcBorders>
            <w:vAlign w:val="center"/>
          </w:tcPr>
          <w:p w14:paraId="70896902">
            <w:pPr>
              <w:keepNext w:val="0"/>
              <w:keepLines w:val="0"/>
              <w:pageBreakBefore w:val="0"/>
              <w:widowControl w:val="0"/>
              <w:kinsoku/>
              <w:wordWrap/>
              <w:overflowPunct/>
              <w:topLinePunct w:val="0"/>
              <w:autoSpaceDE w:val="0"/>
              <w:autoSpaceDN w:val="0"/>
              <w:bidi w:val="0"/>
              <w:snapToGrid w:val="0"/>
              <w:spacing w:line="240" w:lineRule="auto"/>
              <w:jc w:val="both"/>
              <w:textAlignment w:val="bottom"/>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w:t>
            </w:r>
            <w:r>
              <w:rPr>
                <w:rFonts w:hint="eastAsia" w:ascii="宋体" w:hAnsi="宋体" w:cs="宋体"/>
                <w:color w:val="auto"/>
                <w:sz w:val="21"/>
                <w:szCs w:val="21"/>
                <w:highlight w:val="none"/>
              </w:rPr>
              <w:t>标文件组成：</w:t>
            </w:r>
            <w:r>
              <w:rPr>
                <w:rFonts w:hint="eastAsia" w:ascii="宋体" w:hAnsi="宋体" w:cs="宋体"/>
                <w:b/>
                <w:bCs/>
                <w:color w:val="auto"/>
                <w:sz w:val="21"/>
                <w:szCs w:val="21"/>
                <w:highlight w:val="none"/>
              </w:rPr>
              <w:t>资格标、技术资信标、商务标（电子文件应签章齐全，办理CA证书的投标人可采用单位电子公章代替单位公章，法定代表人电子章代替法定代表人签字，在投标文件编制工具中签章）</w:t>
            </w:r>
            <w:r>
              <w:rPr>
                <w:rFonts w:hint="eastAsia" w:ascii="宋体" w:hAnsi="宋体" w:cs="宋体"/>
                <w:b/>
                <w:bCs/>
                <w:color w:val="auto"/>
                <w:sz w:val="21"/>
                <w:szCs w:val="21"/>
                <w:highlight w:val="none"/>
                <w:lang w:eastAsia="zh-CN"/>
              </w:rPr>
              <w:t>。</w:t>
            </w:r>
          </w:p>
        </w:tc>
      </w:tr>
      <w:tr w14:paraId="7A88B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exact"/>
        </w:trPr>
        <w:tc>
          <w:tcPr>
            <w:tcW w:w="889" w:type="dxa"/>
            <w:tcBorders>
              <w:top w:val="single" w:color="auto" w:sz="4" w:space="0"/>
              <w:left w:val="single" w:color="auto" w:sz="4" w:space="0"/>
              <w:bottom w:val="single" w:color="auto" w:sz="4" w:space="0"/>
              <w:right w:val="single" w:color="auto" w:sz="4" w:space="0"/>
            </w:tcBorders>
            <w:vAlign w:val="center"/>
          </w:tcPr>
          <w:p w14:paraId="521549A6">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7</w:t>
            </w:r>
          </w:p>
        </w:tc>
        <w:tc>
          <w:tcPr>
            <w:tcW w:w="8570" w:type="dxa"/>
            <w:tcBorders>
              <w:top w:val="single" w:color="auto" w:sz="4" w:space="0"/>
              <w:left w:val="single" w:color="auto" w:sz="4" w:space="0"/>
              <w:bottom w:val="single" w:color="auto" w:sz="4" w:space="0"/>
              <w:right w:val="single" w:color="auto" w:sz="4" w:space="0"/>
            </w:tcBorders>
            <w:vAlign w:val="center"/>
          </w:tcPr>
          <w:p w14:paraId="5BB3B22A">
            <w:pPr>
              <w:snapToGrid w:val="0"/>
              <w:spacing w:line="360" w:lineRule="auto"/>
              <w:jc w:val="left"/>
              <w:rPr>
                <w:rFonts w:ascii="宋体" w:hAnsi="宋体" w:cs="宋体"/>
                <w:color w:val="auto"/>
                <w:sz w:val="21"/>
                <w:szCs w:val="21"/>
                <w:highlight w:val="none"/>
              </w:rPr>
            </w:pPr>
            <w:r>
              <w:rPr>
                <w:rFonts w:hint="eastAsia" w:ascii="宋体" w:hAnsi="宋体"/>
                <w:color w:val="auto"/>
                <w:sz w:val="21"/>
                <w:szCs w:val="21"/>
                <w:highlight w:val="none"/>
              </w:rPr>
              <w:t>投标截止时间及地点：</w:t>
            </w:r>
            <w:r>
              <w:rPr>
                <w:rFonts w:hint="eastAsia" w:ascii="宋体" w:hAnsi="宋体" w:cs="Arial"/>
                <w:color w:val="auto"/>
                <w:sz w:val="21"/>
                <w:szCs w:val="21"/>
                <w:highlight w:val="none"/>
                <w:u w:val="single"/>
              </w:rPr>
              <w:t>见招标公告；</w:t>
            </w:r>
          </w:p>
        </w:tc>
      </w:tr>
      <w:tr w14:paraId="13452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exact"/>
        </w:trPr>
        <w:tc>
          <w:tcPr>
            <w:tcW w:w="889" w:type="dxa"/>
            <w:tcBorders>
              <w:top w:val="single" w:color="auto" w:sz="4" w:space="0"/>
              <w:left w:val="single" w:color="auto" w:sz="4" w:space="0"/>
              <w:bottom w:val="single" w:color="auto" w:sz="4" w:space="0"/>
              <w:right w:val="single" w:color="auto" w:sz="4" w:space="0"/>
            </w:tcBorders>
            <w:vAlign w:val="center"/>
          </w:tcPr>
          <w:p w14:paraId="789774C4">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8</w:t>
            </w:r>
          </w:p>
        </w:tc>
        <w:tc>
          <w:tcPr>
            <w:tcW w:w="8570" w:type="dxa"/>
            <w:tcBorders>
              <w:top w:val="single" w:color="auto" w:sz="4" w:space="0"/>
              <w:left w:val="single" w:color="auto" w:sz="4" w:space="0"/>
              <w:bottom w:val="single" w:color="auto" w:sz="4" w:space="0"/>
              <w:right w:val="single" w:color="auto" w:sz="4" w:space="0"/>
            </w:tcBorders>
            <w:vAlign w:val="center"/>
          </w:tcPr>
          <w:p w14:paraId="42C6EF6D">
            <w:pPr>
              <w:snapToGrid w:val="0"/>
              <w:spacing w:line="360" w:lineRule="auto"/>
              <w:jc w:val="left"/>
              <w:rPr>
                <w:rFonts w:ascii="宋体" w:hAnsi="宋体" w:cs="宋体"/>
                <w:color w:val="auto"/>
                <w:sz w:val="21"/>
                <w:szCs w:val="21"/>
                <w:highlight w:val="none"/>
              </w:rPr>
            </w:pPr>
            <w:r>
              <w:rPr>
                <w:rFonts w:hint="eastAsia" w:ascii="宋体" w:hAnsi="宋体"/>
                <w:color w:val="auto"/>
                <w:sz w:val="21"/>
                <w:szCs w:val="21"/>
                <w:highlight w:val="none"/>
              </w:rPr>
              <w:t>开标时间及地点：</w:t>
            </w:r>
            <w:r>
              <w:rPr>
                <w:rFonts w:hint="eastAsia" w:ascii="宋体" w:hAnsi="宋体" w:cs="Arial"/>
                <w:color w:val="auto"/>
                <w:sz w:val="21"/>
                <w:szCs w:val="21"/>
                <w:highlight w:val="none"/>
                <w:u w:val="single"/>
              </w:rPr>
              <w:t>见招标公告；</w:t>
            </w:r>
            <w:r>
              <w:rPr>
                <w:rFonts w:ascii="宋体" w:hAnsi="宋体"/>
                <w:color w:val="auto"/>
                <w:sz w:val="21"/>
                <w:szCs w:val="21"/>
                <w:highlight w:val="none"/>
              </w:rPr>
              <w:t xml:space="preserve"> </w:t>
            </w:r>
          </w:p>
        </w:tc>
      </w:tr>
      <w:tr w14:paraId="0A816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exact"/>
        </w:trPr>
        <w:tc>
          <w:tcPr>
            <w:tcW w:w="889" w:type="dxa"/>
            <w:tcBorders>
              <w:top w:val="single" w:color="auto" w:sz="4" w:space="0"/>
              <w:left w:val="single" w:color="auto" w:sz="4" w:space="0"/>
              <w:bottom w:val="single" w:color="auto" w:sz="4" w:space="0"/>
              <w:right w:val="single" w:color="auto" w:sz="4" w:space="0"/>
            </w:tcBorders>
            <w:vAlign w:val="center"/>
          </w:tcPr>
          <w:p w14:paraId="42B7CB2A">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9</w:t>
            </w:r>
          </w:p>
        </w:tc>
        <w:tc>
          <w:tcPr>
            <w:tcW w:w="8570" w:type="dxa"/>
            <w:tcBorders>
              <w:top w:val="single" w:color="auto" w:sz="4" w:space="0"/>
              <w:left w:val="single" w:color="auto" w:sz="4" w:space="0"/>
              <w:bottom w:val="single" w:color="auto" w:sz="4" w:space="0"/>
              <w:right w:val="single" w:color="auto" w:sz="4" w:space="0"/>
            </w:tcBorders>
            <w:vAlign w:val="center"/>
          </w:tcPr>
          <w:p w14:paraId="03A36319">
            <w:pPr>
              <w:autoSpaceDE w:val="0"/>
              <w:autoSpaceDN w:val="0"/>
              <w:snapToGrid w:val="0"/>
              <w:spacing w:line="360" w:lineRule="auto"/>
              <w:textAlignment w:val="bottom"/>
              <w:rPr>
                <w:rFonts w:ascii="宋体" w:hAnsi="宋体" w:cs="宋体"/>
                <w:color w:val="auto"/>
                <w:sz w:val="21"/>
                <w:szCs w:val="21"/>
                <w:highlight w:val="none"/>
              </w:rPr>
            </w:pPr>
            <w:r>
              <w:rPr>
                <w:rFonts w:hint="eastAsia" w:ascii="宋体" w:hAnsi="宋体"/>
                <w:color w:val="auto"/>
                <w:sz w:val="21"/>
                <w:szCs w:val="21"/>
                <w:highlight w:val="none"/>
              </w:rPr>
              <w:t>评标办法及评分标准：详见本招标文件第四章《评标办法及评分标准》</w:t>
            </w:r>
          </w:p>
        </w:tc>
      </w:tr>
      <w:tr w14:paraId="336A5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9" w:type="dxa"/>
            <w:tcBorders>
              <w:top w:val="single" w:color="auto" w:sz="4" w:space="0"/>
              <w:left w:val="single" w:color="auto" w:sz="4" w:space="0"/>
              <w:bottom w:val="single" w:color="auto" w:sz="4" w:space="0"/>
              <w:right w:val="single" w:color="auto" w:sz="4" w:space="0"/>
            </w:tcBorders>
            <w:vAlign w:val="center"/>
          </w:tcPr>
          <w:p w14:paraId="489D890F">
            <w:pPr>
              <w:snapToGrid w:val="0"/>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lang w:val="en-US" w:eastAsia="zh-CN"/>
              </w:rPr>
              <w:t>10</w:t>
            </w:r>
          </w:p>
        </w:tc>
        <w:tc>
          <w:tcPr>
            <w:tcW w:w="8570" w:type="dxa"/>
            <w:tcBorders>
              <w:top w:val="single" w:color="auto" w:sz="4" w:space="0"/>
              <w:left w:val="single" w:color="auto" w:sz="4" w:space="0"/>
              <w:bottom w:val="single" w:color="auto" w:sz="4" w:space="0"/>
              <w:right w:val="single" w:color="auto" w:sz="4" w:space="0"/>
            </w:tcBorders>
            <w:vAlign w:val="center"/>
          </w:tcPr>
          <w:p w14:paraId="48A85590">
            <w:pPr>
              <w:autoSpaceDE w:val="0"/>
              <w:autoSpaceDN w:val="0"/>
              <w:snapToGrid w:val="0"/>
              <w:spacing w:line="360" w:lineRule="auto"/>
              <w:textAlignment w:val="bottom"/>
              <w:rPr>
                <w:rFonts w:ascii="宋体" w:hAnsi="宋体" w:cs="宋体"/>
                <w:color w:val="auto"/>
                <w:sz w:val="21"/>
                <w:szCs w:val="21"/>
                <w:highlight w:val="none"/>
              </w:rPr>
            </w:pPr>
            <w:r>
              <w:rPr>
                <w:rFonts w:hint="eastAsia" w:ascii="宋体" w:hAnsi="宋体" w:cs="宋体"/>
                <w:color w:val="auto"/>
                <w:sz w:val="21"/>
                <w:szCs w:val="21"/>
                <w:highlight w:val="none"/>
              </w:rPr>
              <w:t>结果公示：台州市阳光采购平台（https://tzygcg.com/）、台州市公共资源交易网(https://tzztb.zjtz.gov.cn)、台州市产权交易网（http://www.tzpre.com） 上发布。</w:t>
            </w:r>
          </w:p>
        </w:tc>
      </w:tr>
      <w:tr w14:paraId="226D8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9" w:type="dxa"/>
            <w:tcBorders>
              <w:top w:val="single" w:color="auto" w:sz="4" w:space="0"/>
              <w:left w:val="single" w:color="auto" w:sz="4" w:space="0"/>
              <w:bottom w:val="single" w:color="auto" w:sz="4" w:space="0"/>
              <w:right w:val="single" w:color="auto" w:sz="4" w:space="0"/>
            </w:tcBorders>
            <w:vAlign w:val="center"/>
          </w:tcPr>
          <w:p w14:paraId="5416B4E8">
            <w:pPr>
              <w:snapToGrid w:val="0"/>
              <w:spacing w:line="360" w:lineRule="auto"/>
              <w:jc w:val="center"/>
              <w:rPr>
                <w:rFonts w:hint="default" w:ascii="宋体" w:hAnsi="宋体" w:cs="宋体"/>
                <w:color w:val="auto"/>
                <w:sz w:val="21"/>
                <w:szCs w:val="21"/>
                <w:highlight w:val="none"/>
                <w:lang w:val="en-US"/>
              </w:rPr>
            </w:pPr>
            <w:r>
              <w:rPr>
                <w:rFonts w:hint="eastAsia" w:ascii="宋体" w:hAnsi="宋体"/>
                <w:color w:val="auto"/>
                <w:sz w:val="21"/>
                <w:szCs w:val="21"/>
                <w:highlight w:val="none"/>
                <w:lang w:val="en-US" w:eastAsia="zh-CN"/>
              </w:rPr>
              <w:t>11</w:t>
            </w:r>
          </w:p>
        </w:tc>
        <w:tc>
          <w:tcPr>
            <w:tcW w:w="8570" w:type="dxa"/>
            <w:tcBorders>
              <w:top w:val="single" w:color="auto" w:sz="4" w:space="0"/>
              <w:left w:val="single" w:color="auto" w:sz="4" w:space="0"/>
              <w:bottom w:val="single" w:color="auto" w:sz="4" w:space="0"/>
              <w:right w:val="single" w:color="auto" w:sz="4" w:space="0"/>
            </w:tcBorders>
            <w:vAlign w:val="center"/>
          </w:tcPr>
          <w:p w14:paraId="78F34B73">
            <w:pPr>
              <w:autoSpaceDE w:val="0"/>
              <w:autoSpaceDN w:val="0"/>
              <w:snapToGrid w:val="0"/>
              <w:spacing w:line="360" w:lineRule="auto"/>
              <w:textAlignment w:val="bottom"/>
              <w:rPr>
                <w:rFonts w:ascii="宋体" w:hAnsi="宋体" w:cs="宋体"/>
                <w:color w:val="auto"/>
                <w:sz w:val="21"/>
                <w:szCs w:val="21"/>
                <w:highlight w:val="none"/>
              </w:rPr>
            </w:pPr>
            <w:r>
              <w:rPr>
                <w:rFonts w:hint="eastAsia" w:ascii="宋体" w:hAnsi="宋体"/>
                <w:color w:val="auto"/>
                <w:sz w:val="21"/>
                <w:szCs w:val="21"/>
                <w:highlight w:val="none"/>
              </w:rPr>
              <w:t>签订合同时间：中标通知书发出后30日内。</w:t>
            </w:r>
          </w:p>
        </w:tc>
      </w:tr>
      <w:tr w14:paraId="36F5A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1" w:hRule="exact"/>
        </w:trPr>
        <w:tc>
          <w:tcPr>
            <w:tcW w:w="889" w:type="dxa"/>
            <w:tcBorders>
              <w:top w:val="single" w:color="auto" w:sz="4" w:space="0"/>
              <w:left w:val="single" w:color="auto" w:sz="4" w:space="0"/>
              <w:bottom w:val="single" w:color="auto" w:sz="4" w:space="0"/>
              <w:right w:val="single" w:color="auto" w:sz="4" w:space="0"/>
            </w:tcBorders>
            <w:vAlign w:val="center"/>
          </w:tcPr>
          <w:p w14:paraId="7AC8F576">
            <w:pPr>
              <w:snapToGrid w:val="0"/>
              <w:spacing w:line="360" w:lineRule="auto"/>
              <w:jc w:val="center"/>
              <w:rPr>
                <w:rFonts w:hint="default" w:ascii="宋体" w:hAnsi="宋体" w:cs="宋体"/>
                <w:color w:val="auto"/>
                <w:sz w:val="21"/>
                <w:szCs w:val="21"/>
                <w:highlight w:val="none"/>
                <w:lang w:val="en-US"/>
              </w:rPr>
            </w:pPr>
            <w:r>
              <w:rPr>
                <w:rFonts w:hint="eastAsia" w:ascii="宋体" w:hAnsi="宋体"/>
                <w:color w:val="auto"/>
                <w:sz w:val="21"/>
                <w:szCs w:val="21"/>
                <w:highlight w:val="none"/>
                <w:lang w:val="en-US" w:eastAsia="zh-CN"/>
              </w:rPr>
              <w:t>12</w:t>
            </w:r>
          </w:p>
        </w:tc>
        <w:tc>
          <w:tcPr>
            <w:tcW w:w="8570" w:type="dxa"/>
            <w:tcBorders>
              <w:top w:val="single" w:color="auto" w:sz="4" w:space="0"/>
              <w:left w:val="single" w:color="auto" w:sz="4" w:space="0"/>
              <w:bottom w:val="single" w:color="auto" w:sz="4" w:space="0"/>
              <w:right w:val="single" w:color="auto" w:sz="4" w:space="0"/>
            </w:tcBorders>
            <w:vAlign w:val="center"/>
          </w:tcPr>
          <w:p w14:paraId="39682753">
            <w:pPr>
              <w:autoSpaceDE w:val="0"/>
              <w:autoSpaceDN w:val="0"/>
              <w:snapToGrid w:val="0"/>
              <w:spacing w:line="360" w:lineRule="auto"/>
              <w:textAlignment w:val="bottom"/>
              <w:rPr>
                <w:rFonts w:ascii="宋体" w:hAnsi="宋体" w:cs="宋体"/>
                <w:color w:val="auto"/>
                <w:sz w:val="21"/>
                <w:szCs w:val="21"/>
                <w:highlight w:val="none"/>
              </w:rPr>
            </w:pPr>
            <w:r>
              <w:rPr>
                <w:rFonts w:hint="eastAsia" w:ascii="宋体" w:hAnsi="宋体"/>
                <w:color w:val="auto"/>
                <w:sz w:val="21"/>
                <w:szCs w:val="21"/>
                <w:highlight w:val="none"/>
              </w:rPr>
              <w:t>履约保证金的收取及退还：</w:t>
            </w:r>
            <w:r>
              <w:rPr>
                <w:rFonts w:hint="eastAsia" w:ascii="宋体" w:hAnsi="宋体" w:cs="宋体"/>
                <w:color w:val="auto"/>
                <w:kern w:val="0"/>
                <w:sz w:val="21"/>
                <w:szCs w:val="21"/>
                <w:highlight w:val="none"/>
              </w:rPr>
              <w:t>签订采购合同前，</w:t>
            </w:r>
            <w:r>
              <w:rPr>
                <w:rFonts w:hint="eastAsia" w:ascii="宋体" w:hAnsi="宋体" w:cs="宋体"/>
                <w:color w:val="auto"/>
                <w:sz w:val="21"/>
                <w:szCs w:val="21"/>
                <w:highlight w:val="none"/>
              </w:rPr>
              <w:t>中标</w:t>
            </w:r>
            <w:r>
              <w:rPr>
                <w:rFonts w:hint="eastAsia" w:ascii="宋体" w:hAnsi="宋体" w:cs="宋体"/>
                <w:color w:val="auto"/>
                <w:sz w:val="21"/>
                <w:szCs w:val="21"/>
                <w:highlight w:val="none"/>
                <w:lang w:eastAsia="zh-CN"/>
              </w:rPr>
              <w:t>人</w:t>
            </w:r>
            <w:r>
              <w:rPr>
                <w:rFonts w:hint="eastAsia" w:ascii="宋体" w:hAnsi="宋体" w:cs="宋体"/>
                <w:color w:val="auto"/>
                <w:kern w:val="0"/>
                <w:sz w:val="21"/>
                <w:szCs w:val="21"/>
                <w:highlight w:val="none"/>
              </w:rPr>
              <w:t>递交履约保证金。履约保证金为</w:t>
            </w:r>
            <w:r>
              <w:rPr>
                <w:rFonts w:hint="eastAsia" w:ascii="宋体" w:hAnsi="宋体" w:cs="宋体"/>
                <w:color w:val="auto"/>
                <w:kern w:val="0"/>
                <w:sz w:val="21"/>
                <w:szCs w:val="21"/>
                <w:highlight w:val="none"/>
                <w:u w:val="single"/>
                <w:lang w:val="en-US" w:eastAsia="zh-CN"/>
              </w:rPr>
              <w:t>10000</w:t>
            </w:r>
            <w:r>
              <w:rPr>
                <w:rFonts w:hint="eastAsia" w:ascii="宋体" w:hAnsi="宋体" w:cs="宋体"/>
                <w:color w:val="auto"/>
                <w:kern w:val="0"/>
                <w:sz w:val="21"/>
                <w:szCs w:val="21"/>
                <w:highlight w:val="none"/>
                <w:lang w:val="en-US" w:eastAsia="zh-CN"/>
              </w:rPr>
              <w:t>元</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rPr>
              <w:t>履约保证金待</w:t>
            </w:r>
            <w:r>
              <w:rPr>
                <w:rFonts w:hint="eastAsia" w:ascii="宋体" w:hAnsi="宋体" w:eastAsia="宋体" w:cs="宋体"/>
                <w:color w:val="auto"/>
                <w:kern w:val="0"/>
                <w:sz w:val="21"/>
                <w:szCs w:val="21"/>
                <w:highlight w:val="none"/>
                <w:lang w:val="en-US" w:eastAsia="zh-CN"/>
              </w:rPr>
              <w:t>所有</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合格</w:t>
            </w:r>
            <w:r>
              <w:rPr>
                <w:rFonts w:hint="eastAsia" w:ascii="宋体" w:hAnsi="宋体" w:cs="宋体"/>
                <w:color w:val="auto"/>
                <w:kern w:val="0"/>
                <w:sz w:val="21"/>
                <w:szCs w:val="21"/>
                <w:highlight w:val="none"/>
                <w:lang w:val="en-US" w:eastAsia="zh-CN"/>
              </w:rPr>
              <w:t>完成</w:t>
            </w:r>
            <w:r>
              <w:rPr>
                <w:rFonts w:hint="eastAsia" w:ascii="宋体" w:hAnsi="宋体" w:eastAsia="宋体" w:cs="宋体"/>
                <w:color w:val="auto"/>
                <w:kern w:val="0"/>
                <w:sz w:val="21"/>
                <w:szCs w:val="21"/>
                <w:highlight w:val="none"/>
              </w:rPr>
              <w:t>后</w:t>
            </w:r>
            <w:r>
              <w:rPr>
                <w:rFonts w:hint="eastAsia" w:ascii="宋体" w:hAnsi="宋体" w:eastAsia="宋体" w:cs="宋体"/>
                <w:color w:val="auto"/>
                <w:kern w:val="0"/>
                <w:sz w:val="21"/>
                <w:szCs w:val="21"/>
                <w:highlight w:val="none"/>
                <w:lang w:val="en-US" w:eastAsia="zh-CN"/>
              </w:rPr>
              <w:t>且无违约情况的</w:t>
            </w:r>
            <w:r>
              <w:rPr>
                <w:rFonts w:hint="eastAsia" w:ascii="宋体" w:hAnsi="宋体" w:eastAsia="宋体" w:cs="宋体"/>
                <w:color w:val="auto"/>
                <w:kern w:val="0"/>
                <w:sz w:val="21"/>
                <w:szCs w:val="21"/>
                <w:highlight w:val="none"/>
              </w:rPr>
              <w:t>5日内无息退还(提交方式为</w:t>
            </w:r>
            <w:r>
              <w:rPr>
                <w:rFonts w:hint="eastAsia" w:ascii="宋体" w:hAnsi="宋体" w:cs="Arial"/>
                <w:color w:val="auto"/>
                <w:sz w:val="21"/>
                <w:szCs w:val="21"/>
                <w:highlight w:val="none"/>
              </w:rPr>
              <w:t>转账或</w:t>
            </w:r>
            <w:r>
              <w:rPr>
                <w:rFonts w:hint="eastAsia" w:ascii="宋体" w:hAnsi="宋体" w:cs="宋体"/>
                <w:color w:val="auto"/>
                <w:sz w:val="21"/>
                <w:szCs w:val="21"/>
                <w:highlight w:val="none"/>
              </w:rPr>
              <w:t>现金或</w:t>
            </w:r>
            <w:r>
              <w:rPr>
                <w:rFonts w:hint="eastAsia" w:ascii="宋体" w:hAnsi="宋体" w:cs="宋体"/>
                <w:color w:val="auto"/>
                <w:sz w:val="21"/>
                <w:szCs w:val="21"/>
                <w:highlight w:val="none"/>
                <w:lang w:eastAsia="zh-CN"/>
              </w:rPr>
              <w:t>保函</w:t>
            </w:r>
            <w:r>
              <w:rPr>
                <w:rFonts w:hint="eastAsia" w:ascii="宋体" w:hAnsi="宋体" w:cs="宋体"/>
                <w:color w:val="auto"/>
                <w:sz w:val="21"/>
                <w:szCs w:val="21"/>
                <w:highlight w:val="none"/>
              </w:rPr>
              <w:t>形式</w:t>
            </w:r>
            <w:r>
              <w:rPr>
                <w:rFonts w:hint="eastAsia" w:ascii="宋体" w:hAnsi="宋体" w:eastAsia="宋体" w:cs="宋体"/>
                <w:color w:val="auto"/>
                <w:kern w:val="0"/>
                <w:sz w:val="21"/>
                <w:szCs w:val="21"/>
                <w:highlight w:val="none"/>
              </w:rPr>
              <w:t>)。</w:t>
            </w:r>
          </w:p>
        </w:tc>
      </w:tr>
      <w:tr w14:paraId="3A45B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89" w:type="dxa"/>
            <w:tcBorders>
              <w:top w:val="single" w:color="auto" w:sz="4" w:space="0"/>
              <w:left w:val="single" w:color="auto" w:sz="4" w:space="0"/>
              <w:bottom w:val="single" w:color="auto" w:sz="4" w:space="0"/>
              <w:right w:val="single" w:color="auto" w:sz="4" w:space="0"/>
            </w:tcBorders>
            <w:vAlign w:val="center"/>
          </w:tcPr>
          <w:p w14:paraId="611A4DEC">
            <w:pPr>
              <w:snapToGrid w:val="0"/>
              <w:spacing w:line="360" w:lineRule="auto"/>
              <w:jc w:val="center"/>
              <w:rPr>
                <w:rFonts w:hint="default" w:ascii="宋体" w:hAnsi="宋体" w:cs="宋体"/>
                <w:color w:val="auto"/>
                <w:sz w:val="21"/>
                <w:szCs w:val="21"/>
                <w:highlight w:val="none"/>
                <w:lang w:val="en-US"/>
              </w:rPr>
            </w:pPr>
            <w:r>
              <w:rPr>
                <w:rFonts w:hint="eastAsia" w:ascii="宋体" w:hAnsi="宋体"/>
                <w:color w:val="auto"/>
                <w:sz w:val="21"/>
                <w:szCs w:val="21"/>
                <w:highlight w:val="none"/>
                <w:lang w:val="en-US" w:eastAsia="zh-CN"/>
              </w:rPr>
              <w:t>13</w:t>
            </w:r>
          </w:p>
        </w:tc>
        <w:tc>
          <w:tcPr>
            <w:tcW w:w="8570" w:type="dxa"/>
            <w:tcBorders>
              <w:top w:val="single" w:color="auto" w:sz="4" w:space="0"/>
              <w:left w:val="single" w:color="auto" w:sz="4" w:space="0"/>
              <w:bottom w:val="single" w:color="auto" w:sz="4" w:space="0"/>
              <w:right w:val="single" w:color="auto" w:sz="4" w:space="0"/>
            </w:tcBorders>
            <w:vAlign w:val="center"/>
          </w:tcPr>
          <w:p w14:paraId="7465B5CA">
            <w:pPr>
              <w:keepNext w:val="0"/>
              <w:keepLines w:val="0"/>
              <w:pageBreakBefore w:val="0"/>
              <w:widowControl w:val="0"/>
              <w:kinsoku/>
              <w:wordWrap/>
              <w:overflowPunct/>
              <w:topLinePunct w:val="0"/>
              <w:autoSpaceDE w:val="0"/>
              <w:autoSpaceDN w:val="0"/>
              <w:bidi w:val="0"/>
              <w:snapToGrid w:val="0"/>
              <w:spacing w:line="240" w:lineRule="auto"/>
              <w:jc w:val="both"/>
              <w:textAlignment w:val="bottom"/>
              <w:rPr>
                <w:rFonts w:ascii="宋体" w:hAnsi="宋体" w:cs="宋体"/>
                <w:color w:val="auto"/>
                <w:sz w:val="21"/>
                <w:szCs w:val="21"/>
                <w:highlight w:val="none"/>
              </w:rPr>
            </w:pPr>
            <w:r>
              <w:rPr>
                <w:rFonts w:hint="eastAsia" w:ascii="宋体" w:hAnsi="宋体" w:cs="宋体"/>
                <w:color w:val="auto"/>
                <w:sz w:val="21"/>
                <w:szCs w:val="21"/>
                <w:highlight w:val="none"/>
              </w:rPr>
              <w:t>采购资金来源：自筹</w:t>
            </w:r>
          </w:p>
        </w:tc>
      </w:tr>
      <w:tr w14:paraId="565BC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889" w:type="dxa"/>
            <w:tcBorders>
              <w:top w:val="single" w:color="auto" w:sz="4" w:space="0"/>
              <w:left w:val="single" w:color="auto" w:sz="4" w:space="0"/>
              <w:bottom w:val="single" w:color="auto" w:sz="4" w:space="0"/>
              <w:right w:val="single" w:color="auto" w:sz="4" w:space="0"/>
            </w:tcBorders>
            <w:vAlign w:val="center"/>
          </w:tcPr>
          <w:p w14:paraId="4EFB14ED">
            <w:pPr>
              <w:snapToGrid w:val="0"/>
              <w:spacing w:line="360" w:lineRule="auto"/>
              <w:jc w:val="center"/>
              <w:rPr>
                <w:rFonts w:hint="default" w:ascii="宋体" w:hAnsi="宋体" w:cs="宋体"/>
                <w:color w:val="auto"/>
                <w:sz w:val="21"/>
                <w:szCs w:val="21"/>
                <w:highlight w:val="none"/>
                <w:lang w:val="en-US"/>
              </w:rPr>
            </w:pPr>
            <w:r>
              <w:rPr>
                <w:rFonts w:hint="eastAsia" w:ascii="宋体" w:hAnsi="宋体"/>
                <w:color w:val="auto"/>
                <w:sz w:val="21"/>
                <w:szCs w:val="21"/>
                <w:highlight w:val="none"/>
                <w:lang w:val="en-US" w:eastAsia="zh-CN"/>
              </w:rPr>
              <w:t>14</w:t>
            </w:r>
          </w:p>
        </w:tc>
        <w:tc>
          <w:tcPr>
            <w:tcW w:w="8570" w:type="dxa"/>
            <w:tcBorders>
              <w:top w:val="single" w:color="auto" w:sz="4" w:space="0"/>
              <w:left w:val="single" w:color="auto" w:sz="4" w:space="0"/>
              <w:bottom w:val="single" w:color="auto" w:sz="4" w:space="0"/>
              <w:right w:val="single" w:color="auto" w:sz="4" w:space="0"/>
            </w:tcBorders>
            <w:vAlign w:val="center"/>
          </w:tcPr>
          <w:p w14:paraId="3E14101C">
            <w:pPr>
              <w:keepNext w:val="0"/>
              <w:keepLines w:val="0"/>
              <w:pageBreakBefore w:val="0"/>
              <w:widowControl w:val="0"/>
              <w:kinsoku/>
              <w:wordWrap/>
              <w:overflowPunct/>
              <w:topLinePunct w:val="0"/>
              <w:autoSpaceDE w:val="0"/>
              <w:autoSpaceDN w:val="0"/>
              <w:bidi w:val="0"/>
              <w:snapToGrid w:val="0"/>
              <w:spacing w:line="240" w:lineRule="auto"/>
              <w:jc w:val="both"/>
              <w:textAlignment w:val="bottom"/>
              <w:rPr>
                <w:rFonts w:ascii="宋体" w:hAnsi="宋体" w:cs="宋体"/>
                <w:color w:val="auto"/>
                <w:sz w:val="21"/>
                <w:szCs w:val="21"/>
                <w:highlight w:val="none"/>
              </w:rPr>
            </w:pPr>
            <w:r>
              <w:rPr>
                <w:rFonts w:hint="eastAsia" w:ascii="宋体" w:hAnsi="宋体" w:cs="宋体"/>
                <w:color w:val="auto"/>
                <w:sz w:val="21"/>
                <w:szCs w:val="21"/>
                <w:highlight w:val="none"/>
              </w:rPr>
              <w:t>付款方式：</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自行支付</w:t>
            </w:r>
          </w:p>
        </w:tc>
      </w:tr>
      <w:tr w14:paraId="7F650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4" w:hRule="exact"/>
        </w:trPr>
        <w:tc>
          <w:tcPr>
            <w:tcW w:w="889" w:type="dxa"/>
            <w:tcBorders>
              <w:top w:val="single" w:color="auto" w:sz="4" w:space="0"/>
              <w:left w:val="single" w:color="auto" w:sz="4" w:space="0"/>
              <w:bottom w:val="single" w:color="auto" w:sz="4" w:space="0"/>
              <w:right w:val="single" w:color="auto" w:sz="4" w:space="0"/>
            </w:tcBorders>
            <w:vAlign w:val="center"/>
          </w:tcPr>
          <w:p w14:paraId="414D3A00">
            <w:pPr>
              <w:snapToGrid w:val="0"/>
              <w:spacing w:line="360" w:lineRule="auto"/>
              <w:jc w:val="center"/>
              <w:rPr>
                <w:rFonts w:hint="default" w:ascii="宋体" w:hAnsi="宋体" w:cs="宋体"/>
                <w:color w:val="auto"/>
                <w:sz w:val="21"/>
                <w:szCs w:val="21"/>
                <w:highlight w:val="none"/>
                <w:lang w:val="en-US"/>
              </w:rPr>
            </w:pPr>
            <w:r>
              <w:rPr>
                <w:rFonts w:hint="eastAsia" w:ascii="宋体" w:hAnsi="宋体"/>
                <w:color w:val="auto"/>
                <w:sz w:val="21"/>
                <w:szCs w:val="21"/>
                <w:highlight w:val="none"/>
                <w:lang w:val="en-US" w:eastAsia="zh-CN"/>
              </w:rPr>
              <w:t>15</w:t>
            </w:r>
          </w:p>
        </w:tc>
        <w:tc>
          <w:tcPr>
            <w:tcW w:w="8570" w:type="dxa"/>
            <w:tcBorders>
              <w:top w:val="single" w:color="auto" w:sz="4" w:space="0"/>
              <w:left w:val="single" w:color="auto" w:sz="4" w:space="0"/>
              <w:bottom w:val="single" w:color="auto" w:sz="4" w:space="0"/>
              <w:right w:val="single" w:color="auto" w:sz="4" w:space="0"/>
            </w:tcBorders>
            <w:vAlign w:val="center"/>
          </w:tcPr>
          <w:p w14:paraId="534A6624">
            <w:pPr>
              <w:pStyle w:val="15"/>
              <w:adjustRightInd w:val="0"/>
              <w:snapToGrid w:val="0"/>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应为CA加密的电子文件。投标人须在投标文件递交的截止时间前通过“台州市阳光采购电子投标文件制作工具”将投标文件上传至“台州市阳光采购平台网上投标系统（https：//www.tzygcg.com/wstb/login.html）”。</w:t>
            </w:r>
          </w:p>
          <w:p w14:paraId="755101B4">
            <w:pPr>
              <w:pStyle w:val="15"/>
              <w:adjustRightInd w:val="0"/>
              <w:snapToGrid w:val="0"/>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2、在制作电子投标文件前需安装“电子投标文件制作工具”及“数字证书驱动程序”、“e签宝电子签章客户端”并完成CA证书绑定。</w:t>
            </w:r>
          </w:p>
        </w:tc>
      </w:tr>
      <w:tr w14:paraId="58015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exact"/>
        </w:trPr>
        <w:tc>
          <w:tcPr>
            <w:tcW w:w="889" w:type="dxa"/>
            <w:tcBorders>
              <w:top w:val="single" w:color="auto" w:sz="4" w:space="0"/>
              <w:left w:val="single" w:color="auto" w:sz="4" w:space="0"/>
              <w:bottom w:val="single" w:color="auto" w:sz="4" w:space="0"/>
              <w:right w:val="single" w:color="auto" w:sz="4" w:space="0"/>
            </w:tcBorders>
            <w:vAlign w:val="center"/>
          </w:tcPr>
          <w:p w14:paraId="713D7D1C">
            <w:pPr>
              <w:snapToGrid w:val="0"/>
              <w:spacing w:line="360" w:lineRule="auto"/>
              <w:jc w:val="center"/>
              <w:rPr>
                <w:rFonts w:hint="default" w:ascii="宋体" w:hAnsi="宋体" w:cs="宋体"/>
                <w:color w:val="auto"/>
                <w:sz w:val="21"/>
                <w:szCs w:val="21"/>
                <w:highlight w:val="none"/>
                <w:lang w:val="en-US"/>
              </w:rPr>
            </w:pPr>
            <w:r>
              <w:rPr>
                <w:rFonts w:hint="eastAsia" w:ascii="宋体" w:hAnsi="宋体"/>
                <w:color w:val="auto"/>
                <w:sz w:val="21"/>
                <w:szCs w:val="21"/>
                <w:highlight w:val="none"/>
                <w:lang w:val="en-US" w:eastAsia="zh-CN"/>
              </w:rPr>
              <w:t>16</w:t>
            </w:r>
          </w:p>
        </w:tc>
        <w:tc>
          <w:tcPr>
            <w:tcW w:w="8570" w:type="dxa"/>
            <w:tcBorders>
              <w:top w:val="single" w:color="auto" w:sz="4" w:space="0"/>
              <w:left w:val="single" w:color="auto" w:sz="4" w:space="0"/>
              <w:bottom w:val="single" w:color="auto" w:sz="4" w:space="0"/>
              <w:right w:val="single" w:color="auto" w:sz="4" w:space="0"/>
            </w:tcBorders>
            <w:vAlign w:val="center"/>
          </w:tcPr>
          <w:p w14:paraId="507394E0">
            <w:pPr>
              <w:autoSpaceDE w:val="0"/>
              <w:autoSpaceDN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投标文件有效期：90天</w:t>
            </w:r>
          </w:p>
        </w:tc>
      </w:tr>
      <w:tr w14:paraId="2E8B2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6" w:hRule="exact"/>
        </w:trPr>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3F20C8F">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olor w:val="auto"/>
                <w:sz w:val="21"/>
                <w:szCs w:val="21"/>
                <w:highlight w:val="none"/>
                <w:lang w:val="en-US" w:eastAsia="zh-CN"/>
              </w:rPr>
              <w:t>17</w:t>
            </w:r>
          </w:p>
        </w:tc>
        <w:tc>
          <w:tcPr>
            <w:tcW w:w="8570" w:type="dxa"/>
            <w:tcBorders>
              <w:top w:val="single" w:color="auto" w:sz="4" w:space="0"/>
              <w:left w:val="single" w:color="auto" w:sz="4" w:space="0"/>
              <w:bottom w:val="single" w:color="auto" w:sz="4" w:space="0"/>
              <w:right w:val="single" w:color="auto" w:sz="4" w:space="0"/>
            </w:tcBorders>
            <w:shd w:val="clear" w:color="auto" w:fill="auto"/>
            <w:vAlign w:val="center"/>
          </w:tcPr>
          <w:p w14:paraId="0E234C89">
            <w:pPr>
              <w:autoSpaceDE w:val="0"/>
              <w:autoSpaceDN w:val="0"/>
              <w:snapToGrid w:val="0"/>
              <w:textAlignment w:val="bottom"/>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开标程序：</w:t>
            </w:r>
            <w:r>
              <w:rPr>
                <w:rFonts w:hint="eastAsia" w:ascii="宋体" w:hAnsi="宋体" w:eastAsia="宋体" w:cs="Times New Roman"/>
                <w:color w:val="auto"/>
                <w:sz w:val="21"/>
                <w:szCs w:val="21"/>
                <w:highlight w:val="none"/>
              </w:rPr>
              <w:t>招标人在“招标公告”规定的时间和地点公开开标。</w:t>
            </w:r>
          </w:p>
          <w:p w14:paraId="2CCC783C">
            <w:pPr>
              <w:autoSpaceDE w:val="0"/>
              <w:autoSpaceDN w:val="0"/>
              <w:snapToGrid w:val="0"/>
              <w:textAlignment w:val="bottom"/>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具体程序如下：</w:t>
            </w:r>
          </w:p>
          <w:p w14:paraId="2F755EA0">
            <w:pPr>
              <w:autoSpaceDE w:val="0"/>
              <w:autoSpaceDN w:val="0"/>
              <w:snapToGrid w:val="0"/>
              <w:textAlignment w:val="bottom"/>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一、开标程序如下：</w:t>
            </w:r>
          </w:p>
          <w:p w14:paraId="1B700678">
            <w:pPr>
              <w:autoSpaceDE w:val="0"/>
              <w:autoSpaceDN w:val="0"/>
              <w:snapToGrid w:val="0"/>
              <w:textAlignment w:val="bottom"/>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项目所有投标人进入不见面开标大厅（https://www.tzygcg.com/live/）。</w:t>
            </w:r>
          </w:p>
          <w:p w14:paraId="3D158256">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由招标代理开启视频直播，对开标现场情况进行全程直播。</w:t>
            </w:r>
            <w:r>
              <w:rPr>
                <w:rFonts w:hint="eastAsia" w:ascii="宋体" w:hAnsi="宋体" w:eastAsia="宋体" w:cs="Times New Roman"/>
                <w:color w:val="auto"/>
                <w:sz w:val="21"/>
                <w:szCs w:val="21"/>
                <w:highlight w:val="none"/>
                <w:lang w:val="en-US" w:eastAsia="zh-CN"/>
              </w:rPr>
              <w:t>项目开标解密按以下步骤进行。</w:t>
            </w:r>
          </w:p>
          <w:p w14:paraId="317FF372">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）宣布开始</w:t>
            </w:r>
          </w:p>
          <w:p w14:paraId="720E9AA9">
            <w:pPr>
              <w:autoSpaceDE w:val="0"/>
              <w:autoSpaceDN w:val="0"/>
              <w:snapToGrid w:val="0"/>
              <w:textAlignment w:val="bottom"/>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至投标截止时间，招标代理宣布开始开标，并宣读开标项目相关信息。</w:t>
            </w:r>
          </w:p>
          <w:p w14:paraId="12543541">
            <w:pPr>
              <w:autoSpaceDE w:val="0"/>
              <w:autoSpaceDN w:val="0"/>
              <w:snapToGrid w:val="0"/>
              <w:textAlignment w:val="bottom"/>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）公布投标人数量</w:t>
            </w:r>
          </w:p>
          <w:p w14:paraId="345F14C7">
            <w:pPr>
              <w:autoSpaceDE w:val="0"/>
              <w:autoSpaceDN w:val="0"/>
              <w:snapToGrid w:val="0"/>
              <w:textAlignment w:val="bottom"/>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招标代理公布</w:t>
            </w:r>
            <w:r>
              <w:rPr>
                <w:rFonts w:hint="eastAsia" w:ascii="宋体" w:hAnsi="宋体" w:eastAsia="宋体" w:cs="Times New Roman"/>
                <w:color w:val="auto"/>
                <w:sz w:val="21"/>
                <w:szCs w:val="21"/>
                <w:highlight w:val="none"/>
                <w:lang w:val="en-US" w:eastAsia="zh-CN"/>
              </w:rPr>
              <w:t>参与项目</w:t>
            </w:r>
            <w:r>
              <w:rPr>
                <w:rFonts w:hint="eastAsia" w:ascii="宋体" w:hAnsi="宋体" w:eastAsia="宋体" w:cs="Times New Roman"/>
                <w:color w:val="auto"/>
                <w:sz w:val="21"/>
                <w:szCs w:val="21"/>
                <w:highlight w:val="none"/>
                <w:lang w:eastAsia="zh-CN"/>
              </w:rPr>
              <w:t>投标人数量。若不见面开标系统显示已递交投标文件的单位数量少于3家，招标代理公布已递交投标文件单位名称，当场宣布招标失败，结束开标。</w:t>
            </w:r>
          </w:p>
          <w:p w14:paraId="4D9203C9">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（3）投标人解密</w:t>
            </w:r>
          </w:p>
          <w:p w14:paraId="2F89B3F4">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投标人数量大于等于3家，进入投标人解密环节。</w:t>
            </w:r>
          </w:p>
          <w:p w14:paraId="4E588B80">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投标人解密时间：45分钟。</w:t>
            </w:r>
          </w:p>
          <w:p w14:paraId="23FC36EB">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投标人解密方式：待招标代理点击解密指令后，投标人使用加密上传投标文件的CA数字证书在线解密。</w:t>
            </w:r>
          </w:p>
          <w:p w14:paraId="130A2FB5">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若成功解密的投标人少于3家，招标人宣布本次招标失败。</w:t>
            </w:r>
          </w:p>
          <w:p w14:paraId="473236F8">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（4）公布开标结果</w:t>
            </w:r>
          </w:p>
          <w:p w14:paraId="5360E366">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招标解密完成后，招标人公布解密成功的投标人名单等相关信息。</w:t>
            </w:r>
          </w:p>
          <w:p w14:paraId="189B2819">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3、评标委员会根据招标文件规定的评标程序进行评审，投标单位可自行在不见面开标大厅中观看开标过程。</w:t>
            </w:r>
          </w:p>
          <w:p w14:paraId="5A344959">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4、各投标单位委托代理人或法定代表人须在开评标期间保持电话及网络畅通。</w:t>
            </w:r>
          </w:p>
          <w:p w14:paraId="5CD1DD53">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5、在使用不见面开标大厅过程中，如遇到异常情况，请及时与宁波杰瑞软件有限公司联系。</w:t>
            </w:r>
          </w:p>
          <w:p w14:paraId="2819E535">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（技术支持电话：0574-26877268、18067100830）</w:t>
            </w:r>
          </w:p>
          <w:p w14:paraId="00C01487">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二、开标特别说明</w:t>
            </w:r>
          </w:p>
          <w:p w14:paraId="548EC510">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1、各投标单位授权委托人必须在开评标期间保持电话及网络畅通。</w:t>
            </w:r>
          </w:p>
          <w:p w14:paraId="789F2BE4">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2、因投标人原因造成其电子投标文件未解密的，视为撤销其投标文件；因投标人之外的原因造成电子投标文件未解密的，视为撤回其投标文件；</w:t>
            </w:r>
          </w:p>
          <w:p w14:paraId="3C8BB8FE">
            <w:pPr>
              <w:autoSpaceDE w:val="0"/>
              <w:autoSpaceDN w:val="0"/>
              <w:snapToGrid w:val="0"/>
              <w:textAlignment w:val="bottom"/>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3、正常解密的投标文件在3家（含）以上时，部分投标人的电子投标文件无法解密的，其他投标文件的开标可以继续进行；</w:t>
            </w:r>
          </w:p>
          <w:p w14:paraId="6F382B22">
            <w:pPr>
              <w:autoSpaceDE w:val="0"/>
              <w:autoSpaceDN w:val="0"/>
              <w:snapToGrid w:val="0"/>
              <w:spacing w:line="360" w:lineRule="auto"/>
              <w:textAlignment w:val="bottom"/>
              <w:rPr>
                <w:rFonts w:hint="default"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4、对开评标过程有异议的，异议材料须转化为PDF（签章）后通过网上投标系统或通过不见面开标大厅的向招标代理提出</w:t>
            </w:r>
          </w:p>
        </w:tc>
      </w:tr>
      <w:tr w14:paraId="52D0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exact"/>
        </w:trPr>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64CECBDC">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18</w:t>
            </w:r>
          </w:p>
        </w:tc>
        <w:tc>
          <w:tcPr>
            <w:tcW w:w="8570" w:type="dxa"/>
            <w:tcBorders>
              <w:top w:val="single" w:color="auto" w:sz="4" w:space="0"/>
              <w:left w:val="single" w:color="auto" w:sz="4" w:space="0"/>
              <w:bottom w:val="single" w:color="auto" w:sz="4" w:space="0"/>
              <w:right w:val="single" w:color="auto" w:sz="4" w:space="0"/>
            </w:tcBorders>
            <w:shd w:val="clear" w:color="auto" w:fill="auto"/>
            <w:vAlign w:val="center"/>
          </w:tcPr>
          <w:p w14:paraId="5BC57997">
            <w:pPr>
              <w:autoSpaceDE w:val="0"/>
              <w:autoSpaceDN w:val="0"/>
              <w:snapToGrid w:val="0"/>
              <w:spacing w:line="360" w:lineRule="auto"/>
              <w:textAlignment w:val="bottom"/>
              <w:rPr>
                <w:rFonts w:hint="eastAsia" w:ascii="宋体" w:hAnsi="宋体"/>
                <w:color w:val="auto"/>
                <w:sz w:val="21"/>
                <w:szCs w:val="21"/>
                <w:highlight w:val="none"/>
              </w:rPr>
            </w:pPr>
            <w:r>
              <w:rPr>
                <w:rFonts w:hint="eastAsia" w:ascii="宋体" w:hAnsi="宋体"/>
                <w:color w:val="auto"/>
                <w:sz w:val="21"/>
                <w:szCs w:val="21"/>
                <w:highlight w:val="none"/>
              </w:rPr>
              <w:t>解释：本招标文件的解释权属于招标</w:t>
            </w:r>
            <w:r>
              <w:rPr>
                <w:rFonts w:hint="eastAsia" w:ascii="宋体" w:hAnsi="宋体"/>
                <w:color w:val="auto"/>
                <w:sz w:val="21"/>
                <w:szCs w:val="21"/>
                <w:highlight w:val="none"/>
                <w:lang w:val="en-US" w:eastAsia="zh-CN"/>
              </w:rPr>
              <w:t>人</w:t>
            </w:r>
            <w:r>
              <w:rPr>
                <w:rFonts w:hint="eastAsia" w:ascii="宋体" w:hAnsi="宋体"/>
                <w:color w:val="auto"/>
                <w:sz w:val="21"/>
                <w:szCs w:val="21"/>
                <w:highlight w:val="none"/>
              </w:rPr>
              <w:t>。</w:t>
            </w:r>
          </w:p>
        </w:tc>
      </w:tr>
      <w:tr w14:paraId="78C8E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1" w:hRule="exact"/>
        </w:trPr>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6F765205">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olor w:val="auto"/>
                <w:sz w:val="21"/>
                <w:szCs w:val="21"/>
                <w:highlight w:val="none"/>
                <w:lang w:val="en-US" w:eastAsia="zh-CN"/>
              </w:rPr>
              <w:t>19</w:t>
            </w:r>
          </w:p>
        </w:tc>
        <w:tc>
          <w:tcPr>
            <w:tcW w:w="8570" w:type="dxa"/>
            <w:tcBorders>
              <w:top w:val="single" w:color="auto" w:sz="4" w:space="0"/>
              <w:left w:val="single" w:color="auto" w:sz="4" w:space="0"/>
              <w:bottom w:val="single" w:color="auto" w:sz="4" w:space="0"/>
              <w:right w:val="single" w:color="auto" w:sz="4" w:space="0"/>
            </w:tcBorders>
            <w:shd w:val="clear" w:color="auto" w:fill="auto"/>
            <w:vAlign w:val="center"/>
          </w:tcPr>
          <w:p w14:paraId="5D66C06A">
            <w:pPr>
              <w:snapToGrid w:val="0"/>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注：</w:t>
            </w:r>
          </w:p>
          <w:p w14:paraId="002429E0">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招标人</w:t>
            </w:r>
            <w:r>
              <w:rPr>
                <w:rFonts w:hint="eastAsia" w:ascii="宋体" w:hAnsi="宋体"/>
                <w:color w:val="auto"/>
                <w:sz w:val="21"/>
                <w:szCs w:val="21"/>
                <w:highlight w:val="none"/>
              </w:rPr>
              <w:t>（仅</w:t>
            </w:r>
            <w:r>
              <w:rPr>
                <w:rFonts w:hint="eastAsia" w:ascii="宋体" w:hAnsi="宋体" w:cs="Arial"/>
                <w:color w:val="auto"/>
                <w:sz w:val="21"/>
                <w:szCs w:val="21"/>
                <w:highlight w:val="none"/>
                <w:lang w:val="en-US" w:eastAsia="zh-CN"/>
              </w:rPr>
              <w:t>浙江台博会展有限公司</w:t>
            </w:r>
            <w:r>
              <w:rPr>
                <w:rFonts w:hint="eastAsia" w:ascii="宋体" w:hAnsi="宋体"/>
                <w:color w:val="auto"/>
                <w:sz w:val="21"/>
                <w:szCs w:val="21"/>
                <w:highlight w:val="none"/>
              </w:rPr>
              <w:t>）与中标人应当在《中标通知书》发出之日起30日内签订采购合同。</w:t>
            </w:r>
            <w:r>
              <w:rPr>
                <w:rFonts w:hint="eastAsia" w:ascii="宋体" w:hAnsi="宋体" w:eastAsia="宋体" w:cs="Times New Roman"/>
                <w:color w:val="auto"/>
                <w:kern w:val="2"/>
                <w:sz w:val="21"/>
                <w:szCs w:val="21"/>
                <w:highlight w:val="none"/>
                <w:lang w:val="en-US" w:eastAsia="zh-CN" w:bidi="ar-SA"/>
              </w:rPr>
              <w:t>同时，代理机构对合同内容进行</w:t>
            </w:r>
            <w:r>
              <w:rPr>
                <w:rFonts w:hint="eastAsia" w:ascii="宋体" w:hAnsi="宋体" w:cs="Times New Roman"/>
                <w:color w:val="auto"/>
                <w:kern w:val="2"/>
                <w:sz w:val="21"/>
                <w:szCs w:val="21"/>
                <w:highlight w:val="none"/>
                <w:lang w:val="en-US" w:eastAsia="zh-CN" w:bidi="ar-SA"/>
              </w:rPr>
              <w:t>核对</w:t>
            </w:r>
            <w:r>
              <w:rPr>
                <w:rFonts w:hint="eastAsia" w:ascii="宋体" w:hAnsi="宋体" w:eastAsia="宋体" w:cs="Times New Roman"/>
                <w:color w:val="auto"/>
                <w:kern w:val="2"/>
                <w:sz w:val="21"/>
                <w:szCs w:val="21"/>
                <w:highlight w:val="none"/>
                <w:lang w:val="en-US" w:eastAsia="zh-CN" w:bidi="ar-SA"/>
              </w:rPr>
              <w:t>，如发现与采购结果和投标承诺内容不一致的，</w:t>
            </w:r>
            <w:r>
              <w:rPr>
                <w:rFonts w:hint="eastAsia" w:ascii="宋体" w:hAnsi="宋体" w:cs="Times New Roman"/>
                <w:color w:val="auto"/>
                <w:kern w:val="2"/>
                <w:sz w:val="21"/>
                <w:szCs w:val="21"/>
                <w:highlight w:val="none"/>
                <w:lang w:val="en-US" w:eastAsia="zh-CN" w:bidi="ar-SA"/>
              </w:rPr>
              <w:t>可</w:t>
            </w:r>
            <w:r>
              <w:rPr>
                <w:rFonts w:hint="eastAsia" w:ascii="宋体" w:hAnsi="宋体" w:eastAsia="宋体" w:cs="Times New Roman"/>
                <w:color w:val="auto"/>
                <w:kern w:val="2"/>
                <w:sz w:val="21"/>
                <w:szCs w:val="21"/>
                <w:highlight w:val="none"/>
                <w:lang w:val="en-US" w:eastAsia="zh-CN" w:bidi="ar-SA"/>
              </w:rPr>
              <w:t>予以纠正。</w:t>
            </w:r>
          </w:p>
          <w:p w14:paraId="1FC2F397">
            <w:pPr>
              <w:numPr>
                <w:ilvl w:val="0"/>
                <w:numId w:val="0"/>
              </w:num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.中标人拖延、拒签合同的，将取消中标资格。</w:t>
            </w:r>
          </w:p>
          <w:p w14:paraId="66626A1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.由</w:t>
            </w:r>
            <w:r>
              <w:rPr>
                <w:rFonts w:hint="eastAsia" w:ascii="宋体" w:hAnsi="宋体" w:cs="Arial"/>
                <w:color w:val="auto"/>
                <w:sz w:val="21"/>
                <w:szCs w:val="21"/>
                <w:highlight w:val="none"/>
                <w:lang w:val="en-US" w:eastAsia="zh-CN"/>
              </w:rPr>
              <w:t>浙江台博会展有限公司</w:t>
            </w:r>
            <w:r>
              <w:rPr>
                <w:rFonts w:hint="eastAsia" w:ascii="宋体" w:hAnsi="宋体"/>
                <w:color w:val="auto"/>
                <w:sz w:val="21"/>
                <w:szCs w:val="21"/>
                <w:highlight w:val="none"/>
              </w:rPr>
              <w:t>独立负责完成与中标人签订合同并完成履约（包括各项合同权利、义务，款项支付、结算，合同纠纷处理等）事务。</w:t>
            </w:r>
          </w:p>
          <w:p w14:paraId="239AA633">
            <w:pPr>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重新招标和不再招标</w:t>
            </w:r>
          </w:p>
          <w:p w14:paraId="66D91D01">
            <w:pPr>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4.1重新招标</w:t>
            </w:r>
          </w:p>
          <w:p w14:paraId="50EA737D">
            <w:pPr>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有下列情形之一的，</w:t>
            </w:r>
            <w:r>
              <w:rPr>
                <w:rFonts w:hint="eastAsia" w:ascii="宋体" w:hAnsi="宋体" w:cs="Times New Roman"/>
                <w:color w:val="auto"/>
                <w:kern w:val="2"/>
                <w:sz w:val="21"/>
                <w:szCs w:val="21"/>
                <w:highlight w:val="none"/>
                <w:lang w:val="en-US" w:eastAsia="zh-CN" w:bidi="ar-SA"/>
              </w:rPr>
              <w:t>招标人</w:t>
            </w:r>
            <w:r>
              <w:rPr>
                <w:rFonts w:hint="eastAsia" w:ascii="宋体" w:hAnsi="宋体" w:eastAsia="宋体" w:cs="Times New Roman"/>
                <w:color w:val="auto"/>
                <w:kern w:val="2"/>
                <w:sz w:val="21"/>
                <w:szCs w:val="21"/>
                <w:highlight w:val="none"/>
                <w:lang w:val="en-US" w:eastAsia="zh-CN" w:bidi="ar-SA"/>
              </w:rPr>
              <w:t>将重新招标：</w:t>
            </w:r>
          </w:p>
          <w:p w14:paraId="7BB7B72E">
            <w:pPr>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（1）投标截止时间止，投标人少于3个的；</w:t>
            </w:r>
          </w:p>
          <w:p w14:paraId="5ED28B5A">
            <w:pPr>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（2）有效投标少于3个，使得投标明显缺乏竞争，经评标委员会评审后否决所有投标的。</w:t>
            </w:r>
          </w:p>
          <w:p w14:paraId="2DA7EFFF">
            <w:pPr>
              <w:tabs>
                <w:tab w:val="left" w:pos="312"/>
              </w:tabs>
              <w:autoSpaceDE w:val="0"/>
              <w:autoSpaceDN w:val="0"/>
              <w:snapToGrid w:val="0"/>
              <w:spacing w:line="360" w:lineRule="auto"/>
              <w:textAlignment w:val="bottom"/>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4.2 不再招标</w:t>
            </w:r>
          </w:p>
          <w:p w14:paraId="1CB55F1E">
            <w:pPr>
              <w:tabs>
                <w:tab w:val="left" w:pos="312"/>
              </w:tabs>
              <w:autoSpaceDE w:val="0"/>
              <w:autoSpaceDN w:val="0"/>
              <w:snapToGrid w:val="0"/>
              <w:spacing w:line="360" w:lineRule="auto"/>
              <w:textAlignment w:val="bottom"/>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重新招标后投标人仍少于3个的，报经有关行政监督部门（如有）批准后可以不再进行招标。如招标人决定不再进行招标，</w:t>
            </w:r>
            <w:r>
              <w:rPr>
                <w:rFonts w:hint="eastAsia" w:ascii="宋体" w:hAnsi="宋体"/>
                <w:color w:val="auto"/>
                <w:sz w:val="21"/>
                <w:szCs w:val="21"/>
                <w:highlight w:val="none"/>
              </w:rPr>
              <w:t>可采取竞争性谈判、询价比选</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直接委托</w:t>
            </w:r>
            <w:r>
              <w:rPr>
                <w:rFonts w:hint="eastAsia" w:ascii="宋体" w:hAnsi="宋体"/>
                <w:color w:val="auto"/>
                <w:sz w:val="21"/>
                <w:szCs w:val="21"/>
                <w:highlight w:val="none"/>
              </w:rPr>
              <w:t>等方式采购</w:t>
            </w:r>
            <w:r>
              <w:rPr>
                <w:rFonts w:hint="eastAsia" w:ascii="宋体" w:hAnsi="宋体"/>
                <w:color w:val="auto"/>
                <w:sz w:val="21"/>
                <w:szCs w:val="21"/>
                <w:highlight w:val="none"/>
                <w:lang w:eastAsia="zh-CN"/>
              </w:rPr>
              <w:t>，重新招标时投标人递交的投标</w:t>
            </w:r>
            <w:r>
              <w:rPr>
                <w:rFonts w:hint="eastAsia" w:ascii="宋体" w:hAnsi="宋体"/>
                <w:color w:val="auto"/>
                <w:sz w:val="21"/>
                <w:szCs w:val="21"/>
                <w:highlight w:val="none"/>
                <w:lang w:val="en-US" w:eastAsia="zh-CN"/>
              </w:rPr>
              <w:t>文件将被评标委员会作为以上采购</w:t>
            </w:r>
            <w:r>
              <w:rPr>
                <w:rFonts w:hint="eastAsia" w:ascii="宋体" w:hAnsi="宋体"/>
                <w:color w:val="auto"/>
                <w:sz w:val="21"/>
                <w:szCs w:val="21"/>
                <w:highlight w:val="none"/>
                <w:lang w:eastAsia="zh-CN"/>
              </w:rPr>
              <w:t>方式的评判依据</w:t>
            </w:r>
            <w:r>
              <w:rPr>
                <w:rFonts w:hint="eastAsia" w:ascii="宋体" w:hAnsi="宋体"/>
                <w:color w:val="auto"/>
                <w:sz w:val="21"/>
                <w:szCs w:val="21"/>
                <w:highlight w:val="none"/>
              </w:rPr>
              <w:t>。</w:t>
            </w:r>
          </w:p>
        </w:tc>
      </w:tr>
    </w:tbl>
    <w:p w14:paraId="589A0E18">
      <w:pPr>
        <w:rPr>
          <w:rFonts w:hint="eastAsia" w:hAnsi="宋体"/>
          <w:b/>
          <w:color w:val="auto"/>
          <w:sz w:val="30"/>
          <w:szCs w:val="30"/>
          <w:highlight w:val="none"/>
        </w:rPr>
      </w:pPr>
      <w:r>
        <w:rPr>
          <w:rFonts w:hint="eastAsia" w:hAnsi="宋体"/>
          <w:b/>
          <w:color w:val="auto"/>
          <w:sz w:val="30"/>
          <w:szCs w:val="30"/>
          <w:highlight w:val="none"/>
        </w:rPr>
        <w:br w:type="page"/>
      </w:r>
    </w:p>
    <w:p w14:paraId="205926D4">
      <w:pPr>
        <w:pStyle w:val="3"/>
        <w:snapToGrid w:val="0"/>
        <w:spacing w:before="120" w:after="120" w:line="240" w:lineRule="auto"/>
        <w:rPr>
          <w:rFonts w:hAnsi="宋体"/>
          <w:b/>
          <w:color w:val="auto"/>
          <w:sz w:val="30"/>
          <w:szCs w:val="30"/>
          <w:highlight w:val="none"/>
        </w:rPr>
      </w:pPr>
      <w:r>
        <w:rPr>
          <w:rFonts w:hint="eastAsia" w:hAnsi="宋体"/>
          <w:b/>
          <w:color w:val="auto"/>
          <w:sz w:val="30"/>
          <w:szCs w:val="30"/>
          <w:highlight w:val="none"/>
        </w:rPr>
        <w:t>一、总  则</w:t>
      </w:r>
    </w:p>
    <w:p w14:paraId="351D3B64">
      <w:pPr>
        <w:snapToGrid w:val="0"/>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（一）适用范围</w:t>
      </w:r>
    </w:p>
    <w:p w14:paraId="174D0307">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本招标文件适用于本项目的招标、投标、评标、定标、验收、合同履约、付款等行为（法律、法规另有规定的，从其规定）。</w:t>
      </w:r>
    </w:p>
    <w:p w14:paraId="4D79BD5F">
      <w:pPr>
        <w:snapToGrid w:val="0"/>
        <w:spacing w:before="120" w:beforeLines="50"/>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3B2F877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w:t>
      </w:r>
      <w:r>
        <w:rPr>
          <w:rFonts w:hint="eastAsia" w:ascii="宋体" w:hAnsi="宋体"/>
          <w:color w:val="auto"/>
          <w:sz w:val="24"/>
          <w:highlight w:val="none"/>
          <w:lang w:eastAsia="zh-CN"/>
        </w:rPr>
        <w:t>招标人</w:t>
      </w:r>
      <w:r>
        <w:rPr>
          <w:rFonts w:ascii="宋体" w:hAnsi="宋体"/>
          <w:color w:val="auto"/>
          <w:sz w:val="24"/>
          <w:highlight w:val="none"/>
        </w:rPr>
        <w:t>”）和采购单位。</w:t>
      </w:r>
    </w:p>
    <w:p w14:paraId="320D084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w:t>
      </w:r>
      <w:r>
        <w:rPr>
          <w:rFonts w:hint="eastAsia" w:ascii="宋体" w:hAnsi="宋体"/>
          <w:color w:val="auto"/>
          <w:sz w:val="24"/>
          <w:highlight w:val="none"/>
        </w:rPr>
        <w:t>投标文件</w:t>
      </w:r>
      <w:r>
        <w:rPr>
          <w:rFonts w:ascii="宋体" w:hAnsi="宋体"/>
          <w:color w:val="auto"/>
          <w:sz w:val="24"/>
          <w:highlight w:val="none"/>
        </w:rPr>
        <w:t>的单位或个人。</w:t>
      </w:r>
    </w:p>
    <w:p w14:paraId="47C128B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.“服务”系指招标文件规定投标人须承担的咨询、技术协助、培训、技术指导以及其他类似的义务。</w:t>
      </w:r>
    </w:p>
    <w:p w14:paraId="33320BC7">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“书面形式”包括信函、传真、电报等。</w:t>
      </w:r>
    </w:p>
    <w:p w14:paraId="32BCE1A3">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5.</w:t>
      </w:r>
      <w:r>
        <w:rPr>
          <w:rFonts w:ascii="宋体" w:hAnsi="宋体"/>
          <w:color w:val="auto"/>
          <w:sz w:val="24"/>
          <w:highlight w:val="none"/>
        </w:rPr>
        <w:t>“▲”系指实质性要求条款。</w:t>
      </w:r>
    </w:p>
    <w:p w14:paraId="013BC813">
      <w:pPr>
        <w:snapToGrid w:val="0"/>
        <w:spacing w:before="120"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0BD7F0B6">
      <w:pPr>
        <w:snapToGrid w:val="0"/>
        <w:ind w:firstLine="480" w:firstLineChars="200"/>
        <w:jc w:val="left"/>
        <w:rPr>
          <w:rFonts w:ascii="宋体" w:hAnsi="宋体"/>
          <w:color w:val="auto"/>
          <w:sz w:val="24"/>
          <w:szCs w:val="20"/>
          <w:highlight w:val="none"/>
        </w:rPr>
      </w:pPr>
      <w:r>
        <w:rPr>
          <w:rFonts w:hint="eastAsia" w:ascii="宋体" w:hAnsi="宋体"/>
          <w:color w:val="auto"/>
          <w:sz w:val="24"/>
          <w:highlight w:val="none"/>
        </w:rPr>
        <w:t>本次招标采用公开招标方式进行。</w:t>
      </w:r>
    </w:p>
    <w:p w14:paraId="24C20B83">
      <w:pPr>
        <w:snapToGrid w:val="0"/>
        <w:spacing w:before="120"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37840A39">
      <w:pPr>
        <w:snapToGrid w:val="0"/>
        <w:spacing w:before="156" w:beforeLines="50" w:line="360" w:lineRule="auto"/>
        <w:ind w:firstLine="470" w:firstLineChars="196"/>
        <w:jc w:val="left"/>
        <w:outlineLvl w:val="1"/>
        <w:rPr>
          <w:rFonts w:hAnsi="宋体"/>
          <w:color w:val="auto"/>
          <w:sz w:val="24"/>
          <w:highlight w:val="none"/>
        </w:rPr>
      </w:pPr>
      <w:r>
        <w:rPr>
          <w:rFonts w:hAnsi="宋体"/>
          <w:color w:val="auto"/>
          <w:sz w:val="24"/>
          <w:highlight w:val="none"/>
        </w:rPr>
        <w:t>投标人代表须携带有效身份证件。如投标人代表不是法定代表人，须有法定代表人出具的授权委托书（格式见第六章）。</w:t>
      </w:r>
    </w:p>
    <w:p w14:paraId="1ACA9EFF">
      <w:pPr>
        <w:snapToGrid w:val="0"/>
        <w:spacing w:before="120"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6C219330">
      <w:pPr>
        <w:pStyle w:val="24"/>
        <w:snapToGrid w:val="0"/>
        <w:spacing w:line="360" w:lineRule="auto"/>
        <w:ind w:firstLine="464" w:firstLineChars="200"/>
        <w:jc w:val="left"/>
        <w:rPr>
          <w:rFonts w:hint="eastAsia" w:hAnsi="宋体" w:eastAsia="宋体"/>
          <w:b/>
          <w:bCs/>
          <w:color w:val="auto"/>
          <w:sz w:val="24"/>
          <w:highlight w:val="none"/>
          <w:lang w:eastAsia="zh-CN"/>
        </w:rPr>
      </w:pPr>
      <w:r>
        <w:rPr>
          <w:rFonts w:hint="eastAsia" w:hAnsi="宋体"/>
          <w:color w:val="auto"/>
          <w:sz w:val="24"/>
          <w:highlight w:val="none"/>
          <w:lang w:val="en-US" w:eastAsia="zh-CN"/>
        </w:rPr>
        <w:t>1</w:t>
      </w:r>
      <w:bookmarkStart w:id="24" w:name="OLE_LINK17"/>
      <w:r>
        <w:rPr>
          <w:rFonts w:hint="eastAsia" w:hAnsi="宋体"/>
          <w:color w:val="auto"/>
          <w:sz w:val="24"/>
          <w:highlight w:val="none"/>
          <w:lang w:val="en-US" w:eastAsia="zh-CN"/>
        </w:rPr>
        <w:t>.</w:t>
      </w:r>
      <w:bookmarkEnd w:id="24"/>
      <w:r>
        <w:rPr>
          <w:rFonts w:hint="eastAsia" w:hAnsi="宋体"/>
          <w:color w:val="auto"/>
          <w:sz w:val="24"/>
          <w:highlight w:val="none"/>
        </w:rPr>
        <w:t>不论投标结果如何，投标人均应自行承担所有与投标有关的全部费用（招标文件有相</w:t>
      </w:r>
      <w:r>
        <w:rPr>
          <w:rFonts w:hint="eastAsia" w:hAnsi="宋体"/>
          <w:color w:val="auto"/>
          <w:sz w:val="24"/>
          <w:highlight w:val="none"/>
          <w:lang w:val="en-US" w:eastAsia="zh-CN"/>
        </w:rPr>
        <w:t>关</w:t>
      </w:r>
      <w:r>
        <w:rPr>
          <w:rFonts w:hint="eastAsia" w:hAnsi="宋体"/>
          <w:color w:val="auto"/>
          <w:sz w:val="24"/>
          <w:highlight w:val="none"/>
        </w:rPr>
        <w:t>规定除外）</w:t>
      </w:r>
      <w:r>
        <w:rPr>
          <w:rFonts w:hint="eastAsia" w:hAnsi="宋体"/>
          <w:color w:val="auto"/>
          <w:sz w:val="24"/>
          <w:highlight w:val="none"/>
          <w:lang w:eastAsia="zh-CN"/>
        </w:rPr>
        <w:t>。</w:t>
      </w:r>
    </w:p>
    <w:p w14:paraId="733D5860">
      <w:pPr>
        <w:snapToGrid w:val="0"/>
        <w:spacing w:line="440" w:lineRule="exact"/>
        <w:ind w:firstLine="482" w:firstLineChars="200"/>
        <w:jc w:val="left"/>
        <w:rPr>
          <w:highlight w:val="none"/>
        </w:rPr>
      </w:pPr>
      <w:r>
        <w:rPr>
          <w:rFonts w:hint="eastAsia" w:ascii="宋体" w:hAnsi="宋体" w:cs="宋体"/>
          <w:b/>
          <w:bCs/>
          <w:color w:val="auto"/>
          <w:sz w:val="24"/>
          <w:szCs w:val="24"/>
          <w:highlight w:val="none"/>
          <w:lang w:val="en-US" w:eastAsia="zh-CN"/>
        </w:rPr>
        <w:t>2.本项目招标代理服务费6750元，由本项目的中标单位在领取中标通知书时一次性向代理公司支付。</w:t>
      </w:r>
    </w:p>
    <w:p w14:paraId="7513EDE6">
      <w:pPr>
        <w:snapToGrid w:val="0"/>
        <w:spacing w:before="120" w:beforeLines="50"/>
        <w:ind w:firstLine="472" w:firstLineChars="196"/>
        <w:jc w:val="left"/>
        <w:rPr>
          <w:rFonts w:ascii="宋体" w:hAnsi="宋体"/>
          <w:b/>
          <w:color w:val="auto"/>
          <w:sz w:val="24"/>
          <w:szCs w:val="20"/>
          <w:highlight w:val="none"/>
        </w:rPr>
      </w:pPr>
      <w:r>
        <w:rPr>
          <w:rFonts w:hint="eastAsia" w:ascii="宋体" w:hAnsi="宋体"/>
          <w:b/>
          <w:color w:val="auto"/>
          <w:sz w:val="24"/>
          <w:highlight w:val="none"/>
        </w:rPr>
        <w:t>（六）联合体投标</w:t>
      </w:r>
    </w:p>
    <w:p w14:paraId="3BB8D646">
      <w:pPr>
        <w:snapToGrid w:val="0"/>
        <w:ind w:firstLine="480" w:firstLineChars="200"/>
        <w:jc w:val="left"/>
        <w:rPr>
          <w:rFonts w:ascii="宋体" w:hAnsi="宋体"/>
          <w:color w:val="auto"/>
          <w:sz w:val="24"/>
          <w:highlight w:val="none"/>
        </w:rPr>
      </w:pPr>
      <w:r>
        <w:rPr>
          <w:rFonts w:hint="eastAsia" w:ascii="宋体" w:hAnsi="宋体" w:cs="Arial"/>
          <w:color w:val="auto"/>
          <w:sz w:val="24"/>
          <w:highlight w:val="none"/>
        </w:rPr>
        <w:t>本项目不接受联合体投标</w:t>
      </w:r>
      <w:r>
        <w:rPr>
          <w:rFonts w:hint="eastAsia" w:ascii="宋体" w:hAnsi="宋体"/>
          <w:color w:val="auto"/>
          <w:sz w:val="24"/>
          <w:highlight w:val="none"/>
        </w:rPr>
        <w:t>。</w:t>
      </w:r>
    </w:p>
    <w:p w14:paraId="07CF3432">
      <w:pPr>
        <w:snapToGrid w:val="0"/>
        <w:spacing w:before="120" w:beforeLines="50"/>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6E4AA82B">
      <w:pPr>
        <w:snapToGrid w:val="0"/>
        <w:ind w:firstLine="480" w:firstLineChars="200"/>
        <w:rPr>
          <w:rFonts w:ascii="宋体" w:hAnsi="宋体" w:cs="宋体"/>
          <w:color w:val="auto"/>
          <w:kern w:val="0"/>
          <w:sz w:val="24"/>
          <w:szCs w:val="20"/>
          <w:highlight w:val="none"/>
        </w:rPr>
      </w:pPr>
      <w:r>
        <w:rPr>
          <w:rFonts w:hint="eastAsia" w:ascii="宋体" w:hAnsi="宋体" w:cs="宋体"/>
          <w:color w:val="auto"/>
          <w:kern w:val="0"/>
          <w:sz w:val="24"/>
          <w:highlight w:val="none"/>
        </w:rPr>
        <w:t>未经</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同意，本项目不允许转包。投标人如果对于法律服务分包，需要在投标文件中进行说明。</w:t>
      </w:r>
    </w:p>
    <w:p w14:paraId="6B77E1AE">
      <w:pPr>
        <w:snapToGrid w:val="0"/>
        <w:spacing w:before="156" w:beforeLines="50"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29C1200D">
      <w:pPr>
        <w:pStyle w:val="3"/>
        <w:snapToGrid w:val="0"/>
        <w:spacing w:beforeLines="0" w:afterLines="0" w:line="360" w:lineRule="auto"/>
        <w:ind w:left="3" w:leftChars="1" w:firstLine="480" w:firstLineChars="200"/>
        <w:rPr>
          <w:rFonts w:hAnsi="宋体"/>
          <w:color w:val="auto"/>
          <w:highlight w:val="none"/>
        </w:rPr>
      </w:pPr>
      <w:r>
        <w:rPr>
          <w:rFonts w:hAnsi="宋体"/>
          <w:color w:val="auto"/>
          <w:highlight w:val="none"/>
        </w:rPr>
        <w:t>▲1</w:t>
      </w:r>
      <w:r>
        <w:rPr>
          <w:rFonts w:hint="eastAsia" w:hAnsi="宋体"/>
          <w:color w:val="auto"/>
          <w:sz w:val="24"/>
          <w:highlight w:val="none"/>
          <w:lang w:val="en-US" w:eastAsia="zh-CN"/>
        </w:rPr>
        <w:t>.</w:t>
      </w:r>
      <w:r>
        <w:rPr>
          <w:rFonts w:hAnsi="宋体"/>
          <w:color w:val="auto"/>
          <w:highlight w:val="none"/>
        </w:rPr>
        <w:t>投标人投标所使用的资格、信誉、荣誉、业绩与企业认证必须为本法人所拥有</w:t>
      </w:r>
      <w:r>
        <w:rPr>
          <w:rFonts w:hint="eastAsia" w:hAnsi="宋体"/>
          <w:color w:val="auto"/>
          <w:highlight w:val="none"/>
        </w:rPr>
        <w:t>，</w:t>
      </w:r>
      <w:r>
        <w:rPr>
          <w:rFonts w:hAnsi="宋体"/>
          <w:color w:val="auto"/>
          <w:highlight w:val="none"/>
        </w:rPr>
        <w:t>投标人投标所使用的采购项目实施人员必须为本法人或控股公司正式员工</w:t>
      </w:r>
      <w:r>
        <w:rPr>
          <w:rFonts w:hint="eastAsia" w:hAnsi="宋体"/>
          <w:color w:val="auto"/>
          <w:highlight w:val="none"/>
        </w:rPr>
        <w:t>（如有特别说明的除外）</w:t>
      </w:r>
      <w:r>
        <w:rPr>
          <w:rFonts w:hAnsi="宋体"/>
          <w:color w:val="auto"/>
          <w:highlight w:val="none"/>
        </w:rPr>
        <w:t>。</w:t>
      </w:r>
    </w:p>
    <w:p w14:paraId="24C67ABC">
      <w:pPr>
        <w:pStyle w:val="3"/>
        <w:snapToGrid w:val="0"/>
        <w:spacing w:beforeLines="0" w:afterLines="0" w:line="360" w:lineRule="auto"/>
        <w:ind w:left="3" w:leftChars="1" w:firstLine="480" w:firstLineChars="200"/>
        <w:rPr>
          <w:rFonts w:hAnsi="宋体"/>
          <w:color w:val="auto"/>
          <w:highlight w:val="none"/>
        </w:rPr>
      </w:pPr>
      <w:r>
        <w:rPr>
          <w:rFonts w:hAnsi="宋体"/>
          <w:color w:val="auto"/>
          <w:highlight w:val="none"/>
        </w:rPr>
        <w:t>▲2</w:t>
      </w:r>
      <w:r>
        <w:rPr>
          <w:rFonts w:hint="eastAsia" w:hAnsi="宋体"/>
          <w:color w:val="auto"/>
          <w:sz w:val="24"/>
          <w:highlight w:val="none"/>
          <w:lang w:val="en-US" w:eastAsia="zh-CN"/>
        </w:rPr>
        <w:t>.</w:t>
      </w:r>
      <w:r>
        <w:rPr>
          <w:rFonts w:hAnsi="宋体"/>
          <w:color w:val="auto"/>
          <w:highlight w:val="none"/>
        </w:rPr>
        <w:t>投标人应仔细阅读招标文件的所有内容，按照招标文件的要求提交投标文件，并对所提供的全部资料的真实性承担法律责任。</w:t>
      </w:r>
    </w:p>
    <w:p w14:paraId="54D6EDDF">
      <w:pPr>
        <w:pStyle w:val="3"/>
        <w:snapToGrid w:val="0"/>
        <w:spacing w:before="120" w:beforeLines="0" w:after="120" w:afterLines="0" w:line="360" w:lineRule="auto"/>
        <w:ind w:firstLine="470" w:firstLineChars="196"/>
        <w:outlineLvl w:val="1"/>
        <w:rPr>
          <w:rFonts w:hAnsi="宋体"/>
          <w:color w:val="auto"/>
          <w:highlight w:val="none"/>
        </w:rPr>
      </w:pPr>
      <w:r>
        <w:rPr>
          <w:rFonts w:hAnsi="宋体"/>
          <w:color w:val="auto"/>
          <w:highlight w:val="none"/>
        </w:rPr>
        <w:t>▲3</w:t>
      </w:r>
      <w:r>
        <w:rPr>
          <w:rFonts w:hint="eastAsia" w:hAnsi="宋体"/>
          <w:color w:val="auto"/>
          <w:sz w:val="24"/>
          <w:highlight w:val="none"/>
          <w:lang w:val="en-US" w:eastAsia="zh-CN"/>
        </w:rPr>
        <w:t>.</w:t>
      </w:r>
      <w:r>
        <w:rPr>
          <w:rFonts w:hAnsi="宋体"/>
          <w:color w:val="auto"/>
          <w:highlight w:val="none"/>
        </w:rPr>
        <w:t>投标人在投标活动中提供任何虚假材料，其投标无效，并报监管部门查处；中标后发现的，</w:t>
      </w:r>
      <w:r>
        <w:rPr>
          <w:rFonts w:hint="eastAsia" w:hAnsi="宋体"/>
          <w:color w:val="auto"/>
          <w:highlight w:val="none"/>
        </w:rPr>
        <w:t>构成犯罪的，依法追究刑事责任；尚不构成犯罪的，依照《中华人民共和国招标投标法》第五十四条的规定处罚</w:t>
      </w:r>
      <w:r>
        <w:rPr>
          <w:rFonts w:hAnsi="宋体"/>
          <w:color w:val="auto"/>
          <w:highlight w:val="none"/>
        </w:rPr>
        <w:t>。</w:t>
      </w:r>
    </w:p>
    <w:p w14:paraId="167BEB49">
      <w:pPr>
        <w:pStyle w:val="3"/>
        <w:snapToGrid w:val="0"/>
        <w:spacing w:before="120" w:after="120" w:line="240" w:lineRule="auto"/>
        <w:ind w:firstLine="472" w:firstLineChars="196"/>
        <w:outlineLvl w:val="1"/>
        <w:rPr>
          <w:rFonts w:hAnsi="宋体"/>
          <w:b/>
          <w:bCs/>
          <w:color w:val="auto"/>
          <w:highlight w:val="none"/>
        </w:rPr>
      </w:pPr>
      <w:r>
        <w:rPr>
          <w:rFonts w:hint="eastAsia" w:hAnsi="宋体"/>
          <w:b/>
          <w:bCs/>
          <w:color w:val="auto"/>
          <w:highlight w:val="none"/>
        </w:rPr>
        <w:t>（九）质疑</w:t>
      </w:r>
    </w:p>
    <w:p w14:paraId="2F20067E">
      <w:pPr>
        <w:pStyle w:val="3"/>
        <w:snapToGrid w:val="0"/>
        <w:spacing w:beforeLines="0" w:afterLines="0" w:line="360" w:lineRule="auto"/>
        <w:ind w:left="3" w:leftChars="1"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1.投标人认为</w:t>
      </w:r>
      <w:r>
        <w:rPr>
          <w:rFonts w:ascii="宋体" w:hAnsi="宋体" w:eastAsia="宋体" w:cs="Times New Roman"/>
          <w:color w:val="auto"/>
          <w:highlight w:val="none"/>
        </w:rPr>
        <w:t>招标投标活动不符合法律、行政法规规定的，可以</w:t>
      </w:r>
      <w:r>
        <w:rPr>
          <w:rFonts w:hint="eastAsia" w:ascii="宋体" w:hAnsi="宋体" w:eastAsia="宋体" w:cs="Times New Roman"/>
          <w:color w:val="auto"/>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eastAsia="宋体" w:cs="Times New Roman"/>
          <w:color w:val="auto"/>
          <w:highlight w:val="none"/>
          <w:lang w:eastAsia="zh-CN"/>
        </w:rPr>
        <w:t>招标人</w:t>
      </w:r>
      <w:r>
        <w:rPr>
          <w:rFonts w:hint="eastAsia" w:ascii="宋体" w:hAnsi="宋体" w:eastAsia="宋体" w:cs="Times New Roman"/>
          <w:color w:val="auto"/>
          <w:highlight w:val="none"/>
        </w:rPr>
        <w:t>、采购代理机构提出（附相关有效证明材料），</w:t>
      </w:r>
      <w:r>
        <w:rPr>
          <w:rFonts w:hint="eastAsia" w:ascii="宋体" w:hAnsi="宋体" w:eastAsia="宋体" w:cs="Times New Roman"/>
          <w:color w:val="auto"/>
          <w:highlight w:val="none"/>
          <w:lang w:eastAsia="zh-CN"/>
        </w:rPr>
        <w:t>招标人</w:t>
      </w:r>
      <w:r>
        <w:rPr>
          <w:rFonts w:hint="eastAsia" w:ascii="宋体" w:hAnsi="宋体" w:eastAsia="宋体" w:cs="Times New Roman"/>
          <w:color w:val="auto"/>
          <w:highlight w:val="none"/>
        </w:rPr>
        <w:t>、采购代理机构应给予答复。投标人对答复不服或认为采购代理机构有违反有关规定及其他弄虚作假情形的，可在接到答复之日起3日内向招标监管机构书面申请核查，并提交相关材料。</w:t>
      </w:r>
    </w:p>
    <w:p w14:paraId="2080DE26">
      <w:pPr>
        <w:pStyle w:val="3"/>
        <w:snapToGrid w:val="0"/>
        <w:spacing w:beforeLines="0" w:afterLines="0" w:line="360" w:lineRule="auto"/>
        <w:ind w:left="3" w:leftChars="1" w:firstLine="480" w:firstLineChars="200"/>
        <w:rPr>
          <w:rFonts w:ascii="宋体" w:hAnsi="宋体" w:eastAsia="宋体" w:cs="Times New Roman"/>
          <w:color w:val="auto"/>
          <w:highlight w:val="none"/>
        </w:rPr>
      </w:pPr>
      <w:r>
        <w:rPr>
          <w:rFonts w:hint="eastAsia" w:ascii="宋体" w:hAnsi="宋体" w:eastAsia="宋体" w:cs="Times New Roman"/>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E143412">
      <w:pPr>
        <w:pStyle w:val="3"/>
        <w:snapToGrid w:val="0"/>
        <w:spacing w:before="120" w:after="120" w:line="240" w:lineRule="auto"/>
        <w:rPr>
          <w:rFonts w:hAnsi="宋体"/>
          <w:b/>
          <w:color w:val="auto"/>
          <w:sz w:val="30"/>
          <w:szCs w:val="30"/>
          <w:highlight w:val="none"/>
        </w:rPr>
      </w:pPr>
      <w:r>
        <w:rPr>
          <w:rFonts w:hint="eastAsia" w:hAnsi="宋体"/>
          <w:b/>
          <w:color w:val="auto"/>
          <w:sz w:val="30"/>
          <w:szCs w:val="30"/>
          <w:highlight w:val="none"/>
        </w:rPr>
        <w:t>二、招标文件</w:t>
      </w:r>
    </w:p>
    <w:p w14:paraId="73669D8A">
      <w:pPr>
        <w:snapToGrid w:val="0"/>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（一）招标文件的构成。本招标文件由以下部分组成：</w:t>
      </w:r>
    </w:p>
    <w:p w14:paraId="3C84FAE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公开</w:t>
      </w:r>
      <w:r>
        <w:rPr>
          <w:rFonts w:hint="eastAsia" w:ascii="宋体" w:hAnsi="宋体"/>
          <w:color w:val="auto"/>
          <w:sz w:val="24"/>
          <w:highlight w:val="none"/>
        </w:rPr>
        <w:t>招标公告</w:t>
      </w:r>
    </w:p>
    <w:p w14:paraId="239A760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41CA3EAF">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7E6AF78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780DAD6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2E69B5ED">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.投标文件</w:t>
      </w:r>
      <w:r>
        <w:rPr>
          <w:rFonts w:ascii="宋体" w:hAnsi="宋体"/>
          <w:color w:val="auto"/>
          <w:sz w:val="24"/>
          <w:highlight w:val="none"/>
        </w:rPr>
        <w:t>格式</w:t>
      </w:r>
    </w:p>
    <w:p w14:paraId="1B0F5E3D">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7.本项目招标文件的</w:t>
      </w:r>
      <w:r>
        <w:rPr>
          <w:rFonts w:ascii="宋体" w:hAnsi="宋体"/>
          <w:color w:val="auto"/>
          <w:sz w:val="24"/>
          <w:highlight w:val="none"/>
        </w:rPr>
        <w:t>澄清、答复、修改、补充的内容</w:t>
      </w:r>
    </w:p>
    <w:p w14:paraId="10EB2B3A">
      <w:pPr>
        <w:snapToGrid w:val="0"/>
        <w:spacing w:before="120" w:beforeLines="50"/>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14:paraId="19E2BCF0">
      <w:pPr>
        <w:snapToGrid w:val="0"/>
        <w:spacing w:line="360" w:lineRule="auto"/>
        <w:ind w:firstLine="480" w:firstLineChars="200"/>
        <w:jc w:val="left"/>
        <w:rPr>
          <w:rFonts w:ascii="宋体"/>
          <w:color w:val="auto"/>
          <w:szCs w:val="20"/>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14:paraId="0BB6B7E3">
      <w:pPr>
        <w:pStyle w:val="14"/>
        <w:widowControl w:val="0"/>
        <w:tabs>
          <w:tab w:val="clear" w:pos="454"/>
        </w:tabs>
        <w:snapToGrid w:val="0"/>
        <w:spacing w:before="120" w:beforeLines="50" w:after="156" w:afterLines="0"/>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（三）招标文件的澄清与修改 </w:t>
      </w:r>
    </w:p>
    <w:p w14:paraId="2663ABDC">
      <w:pPr>
        <w:pStyle w:val="3"/>
        <w:snapToGrid w:val="0"/>
        <w:spacing w:before="120" w:after="120" w:line="360" w:lineRule="auto"/>
        <w:ind w:firstLine="48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w:t>
      </w:r>
      <w:r>
        <w:rPr>
          <w:b/>
          <w:bCs/>
          <w:color w:val="auto"/>
          <w:highlight w:val="none"/>
        </w:rPr>
        <w:t xml:space="preserve"> </w:t>
      </w:r>
      <w:r>
        <w:rPr>
          <w:rFonts w:hint="eastAsia" w:ascii="宋体" w:hAnsi="宋体" w:eastAsia="宋体" w:cs="Times New Roman"/>
          <w:color w:val="auto"/>
          <w:highlight w:val="none"/>
          <w:lang w:val="en-US" w:eastAsia="zh-CN"/>
        </w:rPr>
        <w:t>投标人获取招标文件后，对招标文件有异议的，应当在投标截止时间3日前，通过网上投标系统向招标人（招标代理）提出。招标人的答复将发布在台州市阳光采购平台。如在该时间后提出问题需要澄清的，招标人不作答复。招标人及招标代理机构的任何工作人员对投标人所作的任何口头解释、介绍、答复，只能供投标人参考，对招标人无任何约束力。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3日前，发布更正公告，并以书面形式通知所有招标文件收受人。</w:t>
      </w:r>
    </w:p>
    <w:p w14:paraId="724C8496">
      <w:pPr>
        <w:pStyle w:val="3"/>
        <w:snapToGrid w:val="0"/>
        <w:spacing w:beforeLines="0" w:afterLines="0" w:line="360" w:lineRule="auto"/>
        <w:ind w:left="3" w:leftChars="1" w:firstLine="48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14:paraId="1CAA8BD9">
      <w:pPr>
        <w:pStyle w:val="3"/>
        <w:snapToGrid w:val="0"/>
        <w:spacing w:beforeLines="0" w:afterLines="0" w:line="360" w:lineRule="auto"/>
        <w:ind w:left="3" w:leftChars="1" w:firstLine="48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3.招标文件的澄清、答复、修改或补充都应该通过采购代理机构以法定形式发布，招标人非通过本机构，不得擅自澄清、答复、修改或补充招标文件。</w:t>
      </w:r>
    </w:p>
    <w:p w14:paraId="2BE4428A">
      <w:pPr>
        <w:pStyle w:val="3"/>
        <w:snapToGrid w:val="0"/>
        <w:spacing w:before="120" w:after="120" w:line="240" w:lineRule="auto"/>
        <w:rPr>
          <w:rFonts w:hAnsi="宋体"/>
          <w:b/>
          <w:color w:val="auto"/>
          <w:sz w:val="30"/>
          <w:szCs w:val="30"/>
          <w:highlight w:val="none"/>
        </w:rPr>
      </w:pPr>
      <w:r>
        <w:rPr>
          <w:rFonts w:hint="eastAsia" w:hAnsi="宋体"/>
          <w:b/>
          <w:color w:val="auto"/>
          <w:sz w:val="30"/>
          <w:szCs w:val="30"/>
          <w:highlight w:val="none"/>
        </w:rPr>
        <w:t>三、投标文件的编制</w:t>
      </w:r>
    </w:p>
    <w:p w14:paraId="2E4FB8A2">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（一）投标文件的组成</w:t>
      </w:r>
    </w:p>
    <w:p w14:paraId="2D709C76">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投标文件由</w:t>
      </w:r>
      <w:r>
        <w:rPr>
          <w:rFonts w:hint="eastAsia" w:ascii="宋体" w:hAnsi="宋体"/>
          <w:color w:val="auto"/>
          <w:sz w:val="24"/>
          <w:highlight w:val="none"/>
          <w:lang w:val="en-US" w:eastAsia="zh-CN"/>
        </w:rPr>
        <w:t>资格标、</w:t>
      </w:r>
      <w:r>
        <w:rPr>
          <w:rFonts w:hint="eastAsia" w:ascii="宋体" w:hAnsi="宋体"/>
          <w:color w:val="auto"/>
          <w:sz w:val="24"/>
          <w:highlight w:val="none"/>
        </w:rPr>
        <w:t>技术资信标</w:t>
      </w:r>
      <w:r>
        <w:rPr>
          <w:rFonts w:hint="eastAsia" w:ascii="宋体" w:hAnsi="宋体"/>
          <w:color w:val="auto"/>
          <w:sz w:val="24"/>
          <w:highlight w:val="none"/>
          <w:lang w:val="en-US" w:eastAsia="zh-CN"/>
        </w:rPr>
        <w:t>、</w:t>
      </w:r>
      <w:r>
        <w:rPr>
          <w:rFonts w:hint="eastAsia" w:ascii="宋体" w:hAnsi="宋体"/>
          <w:color w:val="auto"/>
          <w:sz w:val="24"/>
          <w:highlight w:val="none"/>
        </w:rPr>
        <w:t>商务标组成。</w:t>
      </w:r>
    </w:p>
    <w:p w14:paraId="62A12E8E">
      <w:pPr>
        <w:pageBreakBefore w:val="0"/>
        <w:widowControl w:val="0"/>
        <w:numPr>
          <w:ilvl w:val="0"/>
          <w:numId w:val="0"/>
        </w:numPr>
        <w:kinsoku/>
        <w:wordWrap/>
        <w:overflowPunct/>
        <w:topLinePunct w:val="0"/>
        <w:bidi w:val="0"/>
        <w:snapToGrid w:val="0"/>
        <w:spacing w:line="360" w:lineRule="auto"/>
        <w:ind w:firstLine="482" w:firstLineChars="200"/>
        <w:jc w:val="left"/>
        <w:textAlignment w:val="auto"/>
        <w:rPr>
          <w:rFonts w:hint="default"/>
          <w:color w:val="auto"/>
          <w:highlight w:val="none"/>
          <w:lang w:val="en-US" w:eastAsia="zh-CN"/>
        </w:rPr>
      </w:pPr>
      <w:r>
        <w:rPr>
          <w:rFonts w:hint="eastAsia" w:ascii="宋体" w:hAnsi="宋体"/>
          <w:b/>
          <w:color w:val="auto"/>
          <w:sz w:val="24"/>
          <w:highlight w:val="none"/>
          <w:lang w:val="en-US" w:eastAsia="zh-CN"/>
        </w:rPr>
        <w:t>1.资格标：</w:t>
      </w:r>
    </w:p>
    <w:p w14:paraId="150EF525">
      <w:pPr>
        <w:pageBreakBefore w:val="0"/>
        <w:widowControl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b w:val="0"/>
          <w:bCs/>
          <w:color w:val="auto"/>
          <w:sz w:val="24"/>
          <w:highlight w:val="none"/>
          <w:lang w:val="en-US" w:eastAsia="zh-CN"/>
        </w:rPr>
      </w:pPr>
      <w:r>
        <w:rPr>
          <w:rFonts w:hint="eastAsia" w:ascii="宋体" w:hAnsi="宋体" w:eastAsia="宋体" w:cs="Times New Roman"/>
          <w:b w:val="0"/>
          <w:bCs/>
          <w:color w:val="auto"/>
          <w:kern w:val="2"/>
          <w:sz w:val="24"/>
          <w:szCs w:val="24"/>
          <w:highlight w:val="none"/>
          <w:lang w:val="en-US" w:eastAsia="zh-CN" w:bidi="ar-SA"/>
        </w:rPr>
        <w:t>（1）</w:t>
      </w:r>
      <w:r>
        <w:rPr>
          <w:rFonts w:hint="eastAsia" w:ascii="宋体" w:hAnsi="宋体" w:eastAsia="宋体"/>
          <w:b w:val="0"/>
          <w:bCs/>
          <w:color w:val="auto"/>
          <w:sz w:val="24"/>
          <w:highlight w:val="none"/>
        </w:rPr>
        <w:t>投标人营业执照</w:t>
      </w:r>
      <w:r>
        <w:rPr>
          <w:rFonts w:hint="eastAsia" w:ascii="宋体" w:hAnsi="宋体" w:eastAsia="宋体"/>
          <w:b w:val="0"/>
          <w:bCs/>
          <w:color w:val="auto"/>
          <w:sz w:val="24"/>
          <w:highlight w:val="none"/>
          <w:lang w:val="en-US" w:eastAsia="zh-CN"/>
        </w:rPr>
        <w:t>复印件；</w:t>
      </w:r>
    </w:p>
    <w:p w14:paraId="08D643F6">
      <w:pPr>
        <w:pageBreakBefore w:val="0"/>
        <w:widowControl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b w:val="0"/>
          <w:bCs/>
          <w:color w:val="auto"/>
          <w:sz w:val="24"/>
          <w:highlight w:val="none"/>
          <w:lang w:val="en-US" w:eastAsia="zh-CN"/>
        </w:rPr>
      </w:pPr>
      <w:r>
        <w:rPr>
          <w:rFonts w:hint="eastAsia" w:ascii="宋体" w:hAnsi="宋体" w:eastAsia="宋体"/>
          <w:b w:val="0"/>
          <w:bCs/>
          <w:color w:val="auto"/>
          <w:sz w:val="24"/>
          <w:highlight w:val="none"/>
          <w:lang w:val="en-US" w:eastAsia="zh-CN"/>
        </w:rPr>
        <w:t>（2）法定代表人授权书或法定代表人身份证明</w:t>
      </w:r>
      <w:r>
        <w:rPr>
          <w:rFonts w:hint="eastAsia" w:ascii="宋体" w:hAnsi="宋体" w:eastAsia="宋体"/>
          <w:b w:val="0"/>
          <w:bCs/>
          <w:color w:val="auto"/>
          <w:sz w:val="24"/>
          <w:highlight w:val="none"/>
          <w:lang w:eastAsia="zh-CN"/>
        </w:rPr>
        <w:t>（格式见附件）；</w:t>
      </w:r>
    </w:p>
    <w:p w14:paraId="5127206D">
      <w:pPr>
        <w:pageBreakBefore w:val="0"/>
        <w:widowControl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b w:val="0"/>
          <w:bCs/>
          <w:color w:val="auto"/>
          <w:sz w:val="24"/>
          <w:highlight w:val="none"/>
          <w:lang w:eastAsia="zh-CN"/>
        </w:rPr>
      </w:pPr>
      <w:r>
        <w:rPr>
          <w:rFonts w:hint="eastAsia" w:ascii="宋体" w:hAnsi="宋体" w:eastAsia="宋体"/>
          <w:b w:val="0"/>
          <w:bCs/>
          <w:color w:val="auto"/>
          <w:sz w:val="24"/>
          <w:highlight w:val="none"/>
          <w:lang w:val="en-US" w:eastAsia="zh-CN"/>
        </w:rPr>
        <w:t>（</w:t>
      </w:r>
      <w:r>
        <w:rPr>
          <w:rFonts w:hint="eastAsia" w:ascii="宋体" w:hAnsi="宋体"/>
          <w:b w:val="0"/>
          <w:bCs/>
          <w:color w:val="auto"/>
          <w:sz w:val="24"/>
          <w:highlight w:val="none"/>
          <w:lang w:val="en-US" w:eastAsia="zh-CN"/>
        </w:rPr>
        <w:t>3</w:t>
      </w:r>
      <w:r>
        <w:rPr>
          <w:rFonts w:hint="eastAsia" w:ascii="宋体" w:hAnsi="宋体" w:eastAsia="宋体"/>
          <w:b w:val="0"/>
          <w:bCs/>
          <w:color w:val="auto"/>
          <w:sz w:val="24"/>
          <w:highlight w:val="none"/>
          <w:lang w:val="en-US" w:eastAsia="zh-CN"/>
        </w:rPr>
        <w:t>）投标人未被限制投标承诺书（格式见附件）</w:t>
      </w:r>
      <w:r>
        <w:rPr>
          <w:rFonts w:hint="eastAsia" w:ascii="宋体" w:hAnsi="宋体" w:eastAsia="宋体"/>
          <w:b w:val="0"/>
          <w:bCs/>
          <w:color w:val="auto"/>
          <w:sz w:val="24"/>
          <w:highlight w:val="none"/>
          <w:lang w:eastAsia="zh-CN"/>
        </w:rPr>
        <w:t>；</w:t>
      </w:r>
    </w:p>
    <w:p w14:paraId="3FDD4D16">
      <w:pPr>
        <w:pageBreakBefore w:val="0"/>
        <w:widowControl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b w:val="0"/>
          <w:bCs/>
          <w:color w:val="auto"/>
          <w:sz w:val="24"/>
          <w:highlight w:val="none"/>
          <w:lang w:val="en-US" w:eastAsia="zh-CN"/>
        </w:rPr>
      </w:pPr>
      <w:r>
        <w:rPr>
          <w:rFonts w:hint="eastAsia" w:ascii="宋体" w:hAnsi="宋体" w:eastAsia="宋体" w:cs="Times New Roman"/>
          <w:b w:val="0"/>
          <w:bCs/>
          <w:color w:val="auto"/>
          <w:kern w:val="2"/>
          <w:sz w:val="24"/>
          <w:szCs w:val="24"/>
          <w:highlight w:val="none"/>
          <w:lang w:val="en-US" w:eastAsia="zh-CN" w:bidi="ar-SA"/>
        </w:rPr>
        <w:t>（</w:t>
      </w:r>
      <w:r>
        <w:rPr>
          <w:rFonts w:hint="eastAsia" w:ascii="宋体" w:hAnsi="宋体" w:cs="Times New Roman"/>
          <w:b w:val="0"/>
          <w:bCs/>
          <w:color w:val="auto"/>
          <w:kern w:val="2"/>
          <w:sz w:val="24"/>
          <w:szCs w:val="24"/>
          <w:highlight w:val="none"/>
          <w:lang w:val="en-US" w:eastAsia="zh-CN" w:bidi="ar-SA"/>
        </w:rPr>
        <w:t>4</w:t>
      </w:r>
      <w:r>
        <w:rPr>
          <w:rFonts w:hint="eastAsia" w:ascii="宋体" w:hAnsi="宋体" w:eastAsia="宋体" w:cs="Times New Roman"/>
          <w:b w:val="0"/>
          <w:bCs/>
          <w:color w:val="auto"/>
          <w:kern w:val="2"/>
          <w:sz w:val="24"/>
          <w:szCs w:val="24"/>
          <w:highlight w:val="none"/>
          <w:lang w:val="en-US" w:eastAsia="zh-CN" w:bidi="ar-SA"/>
        </w:rPr>
        <w:t>）</w:t>
      </w:r>
      <w:r>
        <w:rPr>
          <w:rFonts w:hint="eastAsia" w:ascii="宋体" w:hAnsi="宋体"/>
          <w:b w:val="0"/>
          <w:bCs/>
          <w:color w:val="auto"/>
          <w:sz w:val="24"/>
          <w:highlight w:val="none"/>
          <w:lang w:eastAsia="zh-CN"/>
        </w:rPr>
        <w:t>投标人类似业绩证明材料：须提供该项目合同复印件，如合同中无法体现项目类型、内容、金额和签订时间的，则还须提供原合同采购单位盖章的业绩证明材料(格式自拟，证明材料须补充相关信息）；</w:t>
      </w:r>
    </w:p>
    <w:p w14:paraId="6C06DEA3">
      <w:pPr>
        <w:pageBreakBefore w:val="0"/>
        <w:widowControl w:val="0"/>
        <w:kinsoku/>
        <w:wordWrap/>
        <w:overflowPunct/>
        <w:topLinePunct w:val="0"/>
        <w:bidi w:val="0"/>
        <w:snapToGrid w:val="0"/>
        <w:spacing w:line="360" w:lineRule="auto"/>
        <w:ind w:firstLine="480" w:firstLineChars="200"/>
        <w:jc w:val="left"/>
        <w:textAlignment w:val="auto"/>
        <w:rPr>
          <w:rFonts w:hint="default"/>
          <w:color w:val="auto"/>
          <w:highlight w:val="none"/>
          <w:lang w:val="en-US" w:eastAsia="zh-CN"/>
        </w:rPr>
      </w:pPr>
      <w:r>
        <w:rPr>
          <w:rFonts w:hint="eastAsia" w:ascii="宋体" w:hAnsi="宋体" w:eastAsia="宋体"/>
          <w:b w:val="0"/>
          <w:bCs/>
          <w:color w:val="auto"/>
          <w:sz w:val="24"/>
          <w:highlight w:val="none"/>
          <w:lang w:val="en-US" w:eastAsia="zh-CN"/>
        </w:rPr>
        <w:t>（</w:t>
      </w:r>
      <w:r>
        <w:rPr>
          <w:rFonts w:hint="eastAsia" w:ascii="宋体" w:hAnsi="宋体"/>
          <w:b w:val="0"/>
          <w:bCs/>
          <w:color w:val="auto"/>
          <w:sz w:val="24"/>
          <w:highlight w:val="none"/>
          <w:lang w:val="en-US" w:eastAsia="zh-CN"/>
        </w:rPr>
        <w:t>5</w:t>
      </w:r>
      <w:r>
        <w:rPr>
          <w:rFonts w:hint="eastAsia" w:ascii="宋体" w:hAnsi="宋体" w:eastAsia="宋体"/>
          <w:b w:val="0"/>
          <w:bCs/>
          <w:color w:val="auto"/>
          <w:sz w:val="24"/>
          <w:highlight w:val="none"/>
          <w:lang w:val="en-US" w:eastAsia="zh-CN"/>
        </w:rPr>
        <w:t>）</w:t>
      </w:r>
      <w:r>
        <w:rPr>
          <w:rFonts w:hint="eastAsia" w:ascii="宋体" w:hAnsi="宋体" w:eastAsia="宋体" w:cs="Times New Roman"/>
          <w:b w:val="0"/>
          <w:bCs/>
          <w:color w:val="auto"/>
          <w:sz w:val="24"/>
          <w:highlight w:val="none"/>
          <w:lang w:val="en-US" w:eastAsia="zh-CN"/>
        </w:rPr>
        <w:t>其他有利于本项目进行的相关资料及建议（如有）</w:t>
      </w:r>
      <w:r>
        <w:rPr>
          <w:rFonts w:hint="eastAsia" w:ascii="宋体" w:hAnsi="宋体" w:cs="Times New Roman"/>
          <w:b w:val="0"/>
          <w:bCs/>
          <w:color w:val="auto"/>
          <w:sz w:val="24"/>
          <w:highlight w:val="none"/>
          <w:lang w:val="en-US" w:eastAsia="zh-CN"/>
        </w:rPr>
        <w:t>。</w:t>
      </w:r>
    </w:p>
    <w:p w14:paraId="2A108A23">
      <w:pPr>
        <w:pageBreakBefore w:val="0"/>
        <w:widowControl w:val="0"/>
        <w:numPr>
          <w:ilvl w:val="0"/>
          <w:numId w:val="0"/>
        </w:numP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lang w:val="en-US" w:eastAsia="zh-CN"/>
        </w:rPr>
        <w:t>2</w:t>
      </w:r>
      <w:r>
        <w:rPr>
          <w:rFonts w:hint="eastAsia" w:hAnsi="宋体"/>
          <w:color w:val="auto"/>
          <w:sz w:val="24"/>
          <w:highlight w:val="none"/>
          <w:lang w:val="en-US" w:eastAsia="zh-CN"/>
        </w:rPr>
        <w:t>.</w:t>
      </w:r>
      <w:r>
        <w:rPr>
          <w:rFonts w:hint="eastAsia" w:ascii="宋体" w:hAnsi="宋体"/>
          <w:b/>
          <w:color w:val="auto"/>
          <w:sz w:val="24"/>
          <w:highlight w:val="none"/>
        </w:rPr>
        <w:t>技术资信标：</w:t>
      </w:r>
    </w:p>
    <w:p w14:paraId="6E847226">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b w:val="0"/>
          <w:bCs/>
          <w:color w:val="auto"/>
          <w:sz w:val="24"/>
          <w:highlight w:val="none"/>
        </w:rPr>
      </w:pPr>
      <w:r>
        <w:rPr>
          <w:rFonts w:hint="eastAsia" w:ascii="宋体" w:hAnsi="宋体"/>
          <w:b w:val="0"/>
          <w:bCs/>
          <w:color w:val="auto"/>
          <w:sz w:val="24"/>
          <w:highlight w:val="none"/>
        </w:rPr>
        <w:t>（1）投标人根据第四章评标办法及评分标准自行编制；</w:t>
      </w:r>
    </w:p>
    <w:p w14:paraId="1867082B">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b w:val="0"/>
          <w:bCs/>
          <w:color w:val="auto"/>
          <w:sz w:val="24"/>
          <w:highlight w:val="none"/>
        </w:rPr>
      </w:pPr>
      <w:r>
        <w:rPr>
          <w:rFonts w:hint="eastAsia" w:ascii="宋体" w:hAnsi="宋体"/>
          <w:b w:val="0"/>
          <w:bCs/>
          <w:color w:val="auto"/>
          <w:sz w:val="24"/>
          <w:highlight w:val="none"/>
        </w:rPr>
        <w:t>（2）类似项目业绩一览表（格式见附件）（如有）；</w:t>
      </w:r>
    </w:p>
    <w:p w14:paraId="229419BB">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3</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商务</w:t>
      </w:r>
      <w:r>
        <w:rPr>
          <w:rFonts w:hint="eastAsia" w:ascii="宋体" w:hAnsi="宋体"/>
          <w:b w:val="0"/>
          <w:bCs/>
          <w:color w:val="auto"/>
          <w:sz w:val="24"/>
          <w:highlight w:val="none"/>
        </w:rPr>
        <w:t>需求响应表（格式见附件）；</w:t>
      </w:r>
    </w:p>
    <w:p w14:paraId="3FD36E42">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b w:val="0"/>
          <w:bCs/>
          <w:color w:val="auto"/>
          <w:sz w:val="24"/>
          <w:highlight w:val="none"/>
          <w:lang w:eastAsia="zh-CN"/>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）投标人诚信投标承诺书（格式见附件）</w:t>
      </w:r>
      <w:r>
        <w:rPr>
          <w:rFonts w:hint="eastAsia" w:ascii="宋体" w:hAnsi="宋体"/>
          <w:b w:val="0"/>
          <w:bCs/>
          <w:color w:val="auto"/>
          <w:sz w:val="24"/>
          <w:highlight w:val="none"/>
          <w:lang w:eastAsia="zh-CN"/>
        </w:rPr>
        <w:t>；</w:t>
      </w:r>
    </w:p>
    <w:p w14:paraId="403515E0">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b w:val="0"/>
          <w:bCs/>
          <w:color w:val="auto"/>
          <w:sz w:val="24"/>
          <w:highlight w:val="none"/>
          <w:lang w:eastAsia="zh-CN"/>
        </w:rPr>
      </w:pPr>
      <w:r>
        <w:rPr>
          <w:rFonts w:hint="eastAsia" w:ascii="宋体" w:hAnsi="宋体" w:eastAsia="宋体"/>
          <w:b w:val="0"/>
          <w:bCs/>
          <w:color w:val="auto"/>
          <w:sz w:val="24"/>
          <w:highlight w:val="none"/>
          <w:lang w:val="en-US" w:eastAsia="zh-CN"/>
        </w:rPr>
        <w:t>（</w:t>
      </w:r>
      <w:r>
        <w:rPr>
          <w:rFonts w:hint="eastAsia" w:ascii="宋体" w:hAnsi="宋体"/>
          <w:b w:val="0"/>
          <w:bCs/>
          <w:color w:val="auto"/>
          <w:sz w:val="24"/>
          <w:highlight w:val="none"/>
          <w:lang w:val="en-US" w:eastAsia="zh-CN"/>
        </w:rPr>
        <w:t>5</w:t>
      </w:r>
      <w:r>
        <w:rPr>
          <w:rFonts w:hint="eastAsia" w:ascii="宋体" w:hAnsi="宋体" w:eastAsia="宋体"/>
          <w:b w:val="0"/>
          <w:bCs/>
          <w:color w:val="auto"/>
          <w:sz w:val="24"/>
          <w:highlight w:val="none"/>
          <w:lang w:val="en-US" w:eastAsia="zh-CN"/>
        </w:rPr>
        <w:t>）</w:t>
      </w:r>
      <w:r>
        <w:rPr>
          <w:rFonts w:hint="eastAsia" w:ascii="宋体" w:hAnsi="宋体" w:eastAsia="宋体" w:cs="Times New Roman"/>
          <w:b w:val="0"/>
          <w:bCs/>
          <w:color w:val="auto"/>
          <w:sz w:val="24"/>
          <w:highlight w:val="none"/>
          <w:lang w:val="en-US" w:eastAsia="zh-CN"/>
        </w:rPr>
        <w:t>其他有利于本项目进行的相关资料及建议（如有）。</w:t>
      </w:r>
    </w:p>
    <w:p w14:paraId="2EEBBBC2">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szCs w:val="20"/>
          <w:highlight w:val="none"/>
        </w:rPr>
      </w:pPr>
      <w:r>
        <w:rPr>
          <w:rFonts w:hint="eastAsia" w:ascii="宋体" w:hAnsi="宋体"/>
          <w:b/>
          <w:color w:val="auto"/>
          <w:sz w:val="24"/>
          <w:highlight w:val="none"/>
          <w:lang w:val="en-US" w:eastAsia="zh-CN"/>
        </w:rPr>
        <w:t>3</w:t>
      </w:r>
      <w:r>
        <w:rPr>
          <w:rFonts w:hint="eastAsia" w:hAnsi="宋体"/>
          <w:color w:val="auto"/>
          <w:sz w:val="24"/>
          <w:highlight w:val="none"/>
          <w:lang w:val="en-US" w:eastAsia="zh-CN"/>
        </w:rPr>
        <w:t>.</w:t>
      </w:r>
      <w:r>
        <w:rPr>
          <w:rFonts w:ascii="宋体" w:hAnsi="宋体"/>
          <w:b/>
          <w:color w:val="auto"/>
          <w:sz w:val="24"/>
          <w:highlight w:val="none"/>
        </w:rPr>
        <w:t>商务</w:t>
      </w:r>
      <w:r>
        <w:rPr>
          <w:rFonts w:hint="eastAsia" w:ascii="宋体" w:hAnsi="宋体"/>
          <w:b/>
          <w:color w:val="auto"/>
          <w:sz w:val="24"/>
          <w:highlight w:val="none"/>
        </w:rPr>
        <w:t>标</w:t>
      </w:r>
      <w:r>
        <w:rPr>
          <w:rFonts w:ascii="宋体" w:hAnsi="宋体"/>
          <w:b/>
          <w:color w:val="auto"/>
          <w:sz w:val="24"/>
          <w:highlight w:val="none"/>
        </w:rPr>
        <w:t>：</w:t>
      </w:r>
    </w:p>
    <w:p w14:paraId="4848EBBC">
      <w:pPr>
        <w:pageBreakBefore w:val="0"/>
        <w:widowControl w:val="0"/>
        <w:tabs>
          <w:tab w:val="left" w:pos="3870"/>
          <w:tab w:val="left" w:pos="4085"/>
        </w:tabs>
        <w:kinsoku/>
        <w:wordWrap/>
        <w:overflowPunct/>
        <w:topLinePunct w:val="0"/>
        <w:bidi w:val="0"/>
        <w:snapToGrid w:val="0"/>
        <w:spacing w:line="360" w:lineRule="auto"/>
        <w:ind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（1）开标一览表（格式见附件）；</w:t>
      </w:r>
    </w:p>
    <w:p w14:paraId="6C350116">
      <w:pPr>
        <w:pageBreakBefore w:val="0"/>
        <w:widowControl w:val="0"/>
        <w:tabs>
          <w:tab w:val="left" w:pos="3870"/>
          <w:tab w:val="left" w:pos="4085"/>
        </w:tabs>
        <w:kinsoku/>
        <w:wordWrap/>
        <w:overflowPunct/>
        <w:topLinePunct w:val="0"/>
        <w:bidi w:val="0"/>
        <w:snapToGrid w:val="0"/>
        <w:spacing w:line="360" w:lineRule="auto"/>
        <w:ind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）其他有利于本项目进行的相关资料及建议（如有）。</w:t>
      </w:r>
    </w:p>
    <w:p w14:paraId="29982A68">
      <w:pPr>
        <w:ind w:firstLine="472" w:firstLineChars="196"/>
        <w:rPr>
          <w:rFonts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二</w:t>
      </w:r>
      <w:r>
        <w:rPr>
          <w:rFonts w:hint="eastAsia" w:ascii="宋体" w:hAnsi="宋体"/>
          <w:b/>
          <w:color w:val="auto"/>
          <w:sz w:val="24"/>
          <w:highlight w:val="none"/>
        </w:rPr>
        <w:t>）投标文件的语言及计量</w:t>
      </w:r>
    </w:p>
    <w:p w14:paraId="772C5CFA">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hAnsi="宋体"/>
          <w:color w:val="auto"/>
          <w:sz w:val="24"/>
          <w:highlight w:val="none"/>
          <w:lang w:val="en-US" w:eastAsia="zh-CN"/>
        </w:rPr>
        <w:t>.</w:t>
      </w:r>
      <w:r>
        <w:rPr>
          <w:rFonts w:hint="eastAsia" w:ascii="宋体" w:hAnsi="宋体"/>
          <w:color w:val="auto"/>
          <w:sz w:val="24"/>
          <w:highlight w:val="none"/>
        </w:rPr>
        <w:t>投标文件以及投标人与</w:t>
      </w:r>
      <w:r>
        <w:rPr>
          <w:rFonts w:hint="eastAsia" w:ascii="宋体" w:hAnsi="宋体"/>
          <w:color w:val="auto"/>
          <w:sz w:val="24"/>
          <w:highlight w:val="none"/>
          <w:lang w:eastAsia="zh-CN"/>
        </w:rPr>
        <w:t>招标人</w:t>
      </w:r>
      <w:r>
        <w:rPr>
          <w:rFonts w:hint="eastAsia"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019A0969">
      <w:pPr>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hAnsi="宋体"/>
          <w:color w:val="auto"/>
          <w:sz w:val="24"/>
          <w:highlight w:val="none"/>
          <w:lang w:val="en-US" w:eastAsia="zh-CN"/>
        </w:rPr>
        <w:t>.</w:t>
      </w:r>
      <w:r>
        <w:rPr>
          <w:rFonts w:hint="eastAsia" w:ascii="宋体" w:hAnsi="宋体"/>
          <w:color w:val="auto"/>
          <w:sz w:val="24"/>
          <w:highlight w:val="none"/>
        </w:rPr>
        <w:t>投标计量单位，招标文件已有明确规定的，使用招标文件规定的计量单位；招标文件没有规定的，应采用中华人民共和国法定计量单位（货币单位：人民币元），否则视同未响应。</w:t>
      </w:r>
    </w:p>
    <w:p w14:paraId="70606CEE">
      <w:pPr>
        <w:snapToGrid w:val="0"/>
        <w:spacing w:before="120"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三</w:t>
      </w:r>
      <w:r>
        <w:rPr>
          <w:rFonts w:hint="eastAsia" w:ascii="宋体" w:hAnsi="宋体"/>
          <w:b/>
          <w:color w:val="auto"/>
          <w:sz w:val="24"/>
          <w:highlight w:val="none"/>
        </w:rPr>
        <w:t>）投标报价</w:t>
      </w:r>
    </w:p>
    <w:p w14:paraId="11FB79F3">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hAnsi="宋体"/>
          <w:color w:val="auto"/>
          <w:sz w:val="24"/>
          <w:highlight w:val="none"/>
          <w:lang w:val="en-US" w:eastAsia="zh-CN"/>
        </w:rPr>
        <w:t>.</w:t>
      </w:r>
      <w:r>
        <w:rPr>
          <w:rFonts w:hint="eastAsia" w:ascii="宋体" w:hAnsi="宋体"/>
          <w:color w:val="auto"/>
          <w:sz w:val="24"/>
          <w:highlight w:val="none"/>
        </w:rPr>
        <w:t>报价要求：各投标人应根据</w:t>
      </w:r>
      <w:r>
        <w:rPr>
          <w:rFonts w:hint="eastAsia" w:ascii="宋体" w:hAnsi="宋体"/>
          <w:color w:val="auto"/>
          <w:sz w:val="24"/>
          <w:highlight w:val="none"/>
          <w:lang w:eastAsia="zh-CN"/>
        </w:rPr>
        <w:t>招标人</w:t>
      </w:r>
      <w:r>
        <w:rPr>
          <w:rFonts w:hint="eastAsia" w:ascii="宋体" w:hAnsi="宋体"/>
          <w:color w:val="auto"/>
          <w:sz w:val="24"/>
          <w:highlight w:val="none"/>
        </w:rPr>
        <w:t>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14:paraId="7637B13C">
      <w:pPr>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hAnsi="宋体"/>
          <w:color w:val="auto"/>
          <w:sz w:val="24"/>
          <w:highlight w:val="none"/>
          <w:lang w:val="en-US" w:eastAsia="zh-CN"/>
        </w:rPr>
        <w:t>.</w:t>
      </w:r>
      <w:r>
        <w:rPr>
          <w:rFonts w:hint="eastAsia" w:ascii="宋体" w:hAnsi="宋体"/>
          <w:color w:val="auto"/>
          <w:sz w:val="24"/>
          <w:highlight w:val="none"/>
        </w:rPr>
        <w:t>报价组成：</w:t>
      </w:r>
    </w:p>
    <w:p w14:paraId="35FC7F19">
      <w:pPr>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2.1</w:t>
      </w:r>
      <w:r>
        <w:rPr>
          <w:rFonts w:hint="eastAsia" w:ascii="宋体" w:hAnsi="宋体"/>
          <w:color w:val="auto"/>
          <w:sz w:val="24"/>
          <w:highlight w:val="none"/>
        </w:rPr>
        <w:t>报价方式：本项目采用</w:t>
      </w:r>
      <w:r>
        <w:rPr>
          <w:rFonts w:hint="eastAsia" w:ascii="宋体" w:hAnsi="宋体"/>
          <w:color w:val="auto"/>
          <w:sz w:val="24"/>
          <w:highlight w:val="none"/>
          <w:lang w:val="en-US" w:eastAsia="zh-CN"/>
        </w:rPr>
        <w:t>结算率</w:t>
      </w:r>
      <w:r>
        <w:rPr>
          <w:rFonts w:hint="eastAsia" w:ascii="宋体" w:hAnsi="宋体"/>
          <w:color w:val="auto"/>
          <w:sz w:val="24"/>
          <w:highlight w:val="none"/>
        </w:rPr>
        <w:t>的方式报价</w:t>
      </w:r>
      <w:r>
        <w:rPr>
          <w:rFonts w:hint="eastAsia" w:ascii="宋体" w:hAnsi="宋体"/>
          <w:color w:val="auto"/>
          <w:sz w:val="24"/>
          <w:highlight w:val="none"/>
          <w:lang w:eastAsia="zh-CN"/>
        </w:rPr>
        <w:t>。</w:t>
      </w:r>
    </w:p>
    <w:p w14:paraId="43A32968">
      <w:pPr>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2</w:t>
      </w:r>
      <w:r>
        <w:rPr>
          <w:rFonts w:hint="eastAsia" w:ascii="宋体" w:hAnsi="宋体"/>
          <w:color w:val="auto"/>
          <w:sz w:val="24"/>
          <w:highlight w:val="none"/>
        </w:rPr>
        <w:t>报价内容：投标报价应是招标文件所确定的招标范围内全部工作内容的价格表现。</w:t>
      </w:r>
      <w:r>
        <w:rPr>
          <w:rFonts w:hint="eastAsia" w:ascii="宋体" w:hAnsi="宋体" w:cs="宋体"/>
          <w:color w:val="auto"/>
          <w:sz w:val="24"/>
          <w:highlight w:val="none"/>
        </w:rPr>
        <w:t>包括</w:t>
      </w:r>
      <w:r>
        <w:rPr>
          <w:rFonts w:hint="eastAsia" w:ascii="宋体" w:hAnsi="宋体" w:cs="宋体"/>
          <w:color w:val="auto"/>
          <w:sz w:val="24"/>
          <w:highlight w:val="none"/>
          <w:lang w:val="en-US" w:eastAsia="zh-CN"/>
        </w:rPr>
        <w:t>但不限于所需的一切人员费用、办公费用、交通、设备、管理费用、招标代理费、税费、利润以及完成合同不可或缺的所有工作开支、政策性文件规定及合同包含的所有风险、责任等各项全部费用并承担一切风险责任。</w:t>
      </w:r>
      <w:r>
        <w:rPr>
          <w:rFonts w:hint="eastAsia" w:ascii="宋体" w:hAnsi="宋体"/>
          <w:color w:val="auto"/>
          <w:sz w:val="24"/>
          <w:highlight w:val="none"/>
        </w:rPr>
        <w:t>各投标人应根据</w:t>
      </w:r>
      <w:r>
        <w:rPr>
          <w:rFonts w:hint="eastAsia" w:ascii="宋体" w:hAnsi="宋体"/>
          <w:color w:val="auto"/>
          <w:sz w:val="24"/>
          <w:highlight w:val="none"/>
          <w:lang w:eastAsia="zh-CN"/>
        </w:rPr>
        <w:t>招标人</w:t>
      </w:r>
      <w:r>
        <w:rPr>
          <w:rFonts w:hint="eastAsia" w:ascii="宋体" w:hAnsi="宋体"/>
          <w:color w:val="auto"/>
          <w:sz w:val="24"/>
          <w:highlight w:val="none"/>
        </w:rPr>
        <w:t>提供的技术资料、</w:t>
      </w:r>
      <w:r>
        <w:rPr>
          <w:rFonts w:hint="eastAsia" w:ascii="宋体" w:hAnsi="宋体"/>
          <w:color w:val="auto"/>
          <w:sz w:val="24"/>
          <w:highlight w:val="none"/>
          <w:lang w:val="en-US" w:eastAsia="zh-CN"/>
        </w:rPr>
        <w:t>招标</w:t>
      </w:r>
      <w:r>
        <w:rPr>
          <w:rFonts w:hint="eastAsia" w:ascii="宋体" w:hAnsi="宋体"/>
          <w:color w:val="auto"/>
          <w:sz w:val="24"/>
          <w:highlight w:val="none"/>
        </w:rPr>
        <w:t>清单，以及本</w:t>
      </w:r>
      <w:r>
        <w:rPr>
          <w:rFonts w:hint="eastAsia" w:ascii="宋体" w:hAnsi="宋体"/>
          <w:color w:val="auto"/>
          <w:sz w:val="24"/>
          <w:highlight w:val="none"/>
          <w:lang w:val="en-US" w:eastAsia="zh-CN"/>
        </w:rPr>
        <w:t>项目</w:t>
      </w:r>
      <w:r>
        <w:rPr>
          <w:rFonts w:hint="eastAsia" w:ascii="宋体" w:hAnsi="宋体"/>
          <w:color w:val="auto"/>
          <w:sz w:val="24"/>
          <w:highlight w:val="none"/>
        </w:rPr>
        <w:t>实际情况和自身的综合实力，竞报投标报价。知识产权等</w:t>
      </w:r>
      <w:r>
        <w:rPr>
          <w:rFonts w:hint="eastAsia" w:ascii="宋体" w:hAnsi="宋体"/>
          <w:color w:val="auto"/>
          <w:sz w:val="24"/>
          <w:highlight w:val="none"/>
          <w:lang w:val="en-US" w:eastAsia="zh-CN"/>
        </w:rPr>
        <w:t>费用</w:t>
      </w:r>
      <w:r>
        <w:rPr>
          <w:rFonts w:hint="eastAsia" w:ascii="宋体" w:hAnsi="宋体"/>
          <w:color w:val="auto"/>
          <w:sz w:val="24"/>
          <w:highlight w:val="none"/>
        </w:rPr>
        <w:t>由投标人在投标报价时综合考虑，以后不作任何调整。</w:t>
      </w:r>
    </w:p>
    <w:p w14:paraId="21065362">
      <w:pPr>
        <w:ind w:firstLine="480" w:firstLineChars="200"/>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14:paraId="5F2BFB5F">
      <w:pPr>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招标人</w:t>
      </w:r>
      <w:r>
        <w:rPr>
          <w:rFonts w:hint="eastAsia" w:ascii="宋体" w:hAnsi="宋体"/>
          <w:color w:val="auto"/>
          <w:sz w:val="24"/>
          <w:highlight w:val="none"/>
        </w:rPr>
        <w:t>要求分项报价是为了方便评标，但在任何情况下不限制</w:t>
      </w:r>
      <w:r>
        <w:rPr>
          <w:rFonts w:hint="eastAsia" w:ascii="宋体" w:hAnsi="宋体"/>
          <w:color w:val="auto"/>
          <w:sz w:val="24"/>
          <w:highlight w:val="none"/>
          <w:lang w:eastAsia="zh-CN"/>
        </w:rPr>
        <w:t>招标人</w:t>
      </w:r>
      <w:r>
        <w:rPr>
          <w:rFonts w:hint="eastAsia" w:ascii="宋体" w:hAnsi="宋体"/>
          <w:color w:val="auto"/>
          <w:sz w:val="24"/>
          <w:highlight w:val="none"/>
        </w:rPr>
        <w:t>以其认为最合适的条款、条件签订合同的权利。</w:t>
      </w:r>
    </w:p>
    <w:p w14:paraId="1312F14D">
      <w:pPr>
        <w:pStyle w:val="14"/>
        <w:widowControl w:val="0"/>
        <w:tabs>
          <w:tab w:val="clear" w:pos="454"/>
        </w:tabs>
        <w:snapToGrid w:val="0"/>
        <w:spacing w:before="120" w:beforeLines="50" w:after="156" w:afterLines="0"/>
        <w:ind w:left="0" w:firstLine="472" w:firstLineChars="196"/>
        <w:rPr>
          <w:rFonts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四</w:t>
      </w:r>
      <w:r>
        <w:rPr>
          <w:rFonts w:hint="eastAsia" w:ascii="宋体" w:hAnsi="宋体"/>
          <w:b/>
          <w:color w:val="auto"/>
          <w:szCs w:val="24"/>
          <w:highlight w:val="none"/>
        </w:rPr>
        <w:t>）投标文件的有效期</w:t>
      </w:r>
    </w:p>
    <w:p w14:paraId="1841B406">
      <w:pPr>
        <w:pStyle w:val="14"/>
        <w:widowControl w:val="0"/>
        <w:tabs>
          <w:tab w:val="clear" w:pos="454"/>
        </w:tabs>
        <w:snapToGrid w:val="0"/>
        <w:spacing w:after="120"/>
        <w:ind w:left="486" w:leftChars="173" w:hanging="2" w:hangingChars="1"/>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w:t>
      </w:r>
      <w:r>
        <w:rPr>
          <w:rFonts w:hint="eastAsia" w:ascii="宋体" w:hAnsi="宋体"/>
          <w:color w:val="auto"/>
          <w:szCs w:val="24"/>
          <w:highlight w:val="none"/>
        </w:rPr>
        <w:t>天投标文件应保持有效。中标人投标文件有效期延长至合同有效期。有效期不足的投标文件将被拒绝。</w:t>
      </w:r>
    </w:p>
    <w:p w14:paraId="0D76224D">
      <w:pPr>
        <w:pStyle w:val="14"/>
        <w:widowControl w:val="0"/>
        <w:numPr>
          <w:ilvl w:val="0"/>
          <w:numId w:val="0"/>
        </w:numPr>
        <w:tabs>
          <w:tab w:val="clear" w:pos="454"/>
        </w:tabs>
        <w:snapToGrid w:val="0"/>
        <w:spacing w:after="120"/>
        <w:ind w:firstLine="720" w:firstLineChars="300"/>
        <w:rPr>
          <w:rFonts w:hint="eastAsia" w:ascii="宋体" w:hAnsi="宋体"/>
          <w:color w:val="auto"/>
          <w:szCs w:val="24"/>
          <w:highlight w:val="none"/>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olor w:val="auto"/>
          <w:szCs w:val="24"/>
          <w:highlight w:val="none"/>
        </w:rPr>
        <w:t>在特殊情况下，</w:t>
      </w:r>
      <w:r>
        <w:rPr>
          <w:rFonts w:hint="eastAsia" w:ascii="宋体" w:hAnsi="宋体"/>
          <w:color w:val="auto"/>
          <w:szCs w:val="24"/>
          <w:highlight w:val="none"/>
          <w:lang w:eastAsia="zh-CN"/>
        </w:rPr>
        <w:t>招标人</w:t>
      </w:r>
      <w:r>
        <w:rPr>
          <w:rFonts w:hint="eastAsia" w:ascii="宋体" w:hAnsi="宋体"/>
          <w:color w:val="auto"/>
          <w:szCs w:val="24"/>
          <w:highlight w:val="none"/>
        </w:rPr>
        <w:t>可与投标人协商延长投标书的有效期，这种要求和答复均以书面形式进行。</w:t>
      </w:r>
    </w:p>
    <w:p w14:paraId="459D7958">
      <w:pPr>
        <w:pStyle w:val="14"/>
        <w:widowControl w:val="0"/>
        <w:numPr>
          <w:ilvl w:val="0"/>
          <w:numId w:val="0"/>
        </w:numPr>
        <w:tabs>
          <w:tab w:val="clear" w:pos="454"/>
        </w:tabs>
        <w:snapToGrid w:val="0"/>
        <w:spacing w:after="120"/>
        <w:ind w:firstLine="720" w:firstLineChars="300"/>
        <w:rPr>
          <w:rFonts w:ascii="宋体" w:hAnsi="宋体"/>
          <w:b/>
          <w:color w:val="auto"/>
          <w:sz w:val="24"/>
          <w:szCs w:val="20"/>
          <w:highlight w:val="none"/>
        </w:rPr>
      </w:pPr>
      <w:r>
        <w:rPr>
          <w:rFonts w:hint="eastAsia" w:ascii="宋体" w:hAnsi="宋体"/>
          <w:color w:val="auto"/>
          <w:sz w:val="24"/>
          <w:highlight w:val="none"/>
        </w:rPr>
        <w:t>3.投标人可拒绝接受延期要求而不会导致投标保证金被没收。同意延长有效期的投标人需要相应延长投标保证金的有效期，但不能修改投标文件。</w:t>
      </w:r>
      <w:r>
        <w:rPr>
          <w:rFonts w:hint="eastAsia" w:ascii="宋体" w:hAnsi="宋体"/>
          <w:b/>
          <w:color w:val="auto"/>
          <w:sz w:val="24"/>
          <w:highlight w:val="none"/>
        </w:rPr>
        <w:t xml:space="preserve"> </w:t>
      </w:r>
    </w:p>
    <w:p w14:paraId="69AA7DC3">
      <w:pPr>
        <w:snapToGrid w:val="0"/>
        <w:ind w:firstLine="720" w:firstLineChars="300"/>
        <w:jc w:val="left"/>
        <w:outlineLvl w:val="0"/>
        <w:rPr>
          <w:rFonts w:ascii="宋体" w:hAnsi="宋体"/>
          <w:b/>
          <w:color w:val="auto"/>
          <w:sz w:val="24"/>
          <w:highlight w:val="none"/>
        </w:rPr>
      </w:pPr>
      <w:r>
        <w:rPr>
          <w:rFonts w:hint="eastAsia" w:ascii="宋体" w:hAnsi="宋体"/>
          <w:color w:val="auto"/>
          <w:sz w:val="24"/>
          <w:highlight w:val="none"/>
        </w:rPr>
        <w:t>4.中标人的投标文件自开标之日起至合同履行完毕止均应保持有效。</w:t>
      </w:r>
    </w:p>
    <w:p w14:paraId="2F87320C">
      <w:pPr>
        <w:snapToGrid w:val="0"/>
        <w:spacing w:before="120" w:beforeLines="50"/>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五</w:t>
      </w:r>
      <w:r>
        <w:rPr>
          <w:rFonts w:hint="eastAsia" w:ascii="宋体" w:hAnsi="宋体"/>
          <w:b/>
          <w:color w:val="auto"/>
          <w:sz w:val="24"/>
          <w:highlight w:val="none"/>
        </w:rPr>
        <w:t>）投标保证金</w:t>
      </w:r>
    </w:p>
    <w:p w14:paraId="27955D8C">
      <w:pPr>
        <w:snapToGrid w:val="0"/>
        <w:spacing w:before="120" w:beforeLines="50"/>
        <w:ind w:firstLine="710" w:firstLineChars="296"/>
        <w:jc w:val="left"/>
        <w:outlineLvl w:val="0"/>
        <w:rPr>
          <w:rFonts w:hint="eastAsia" w:ascii="宋体" w:hAnsi="宋体" w:eastAsia="宋体"/>
          <w:b w:val="0"/>
          <w:bCs/>
          <w:color w:val="auto"/>
          <w:sz w:val="24"/>
          <w:szCs w:val="20"/>
          <w:highlight w:val="none"/>
          <w:lang w:val="en-US" w:eastAsia="zh-CN"/>
        </w:rPr>
      </w:pPr>
      <w:r>
        <w:rPr>
          <w:rFonts w:hint="eastAsia" w:ascii="宋体" w:hAnsi="宋体"/>
          <w:b w:val="0"/>
          <w:bCs/>
          <w:color w:val="auto"/>
          <w:sz w:val="24"/>
          <w:highlight w:val="none"/>
          <w:lang w:val="en-US" w:eastAsia="zh-CN"/>
        </w:rPr>
        <w:t>无</w:t>
      </w:r>
    </w:p>
    <w:p w14:paraId="6E94C17A">
      <w:pPr>
        <w:snapToGrid w:val="0"/>
        <w:spacing w:before="120"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六</w:t>
      </w:r>
      <w:r>
        <w:rPr>
          <w:rFonts w:hint="eastAsia" w:ascii="宋体" w:hAnsi="宋体"/>
          <w:b/>
          <w:color w:val="auto"/>
          <w:sz w:val="24"/>
          <w:highlight w:val="none"/>
        </w:rPr>
        <w:t>）投标文件的签署和份数</w:t>
      </w:r>
    </w:p>
    <w:p w14:paraId="0601076F">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w:t>
      </w:r>
      <w:r>
        <w:rPr>
          <w:rFonts w:hint="eastAsia" w:ascii="宋体" w:hAnsi="宋体"/>
          <w:bCs/>
          <w:color w:val="auto"/>
          <w:sz w:val="24"/>
          <w:highlight w:val="none"/>
        </w:rPr>
        <w:t>投标人按本招标文件规定的要求使用电子投标文件，投标文件内容不完整、编排混乱导致投标文件被误读、漏读或者查找不到相关内容的，是投标人的责任。</w:t>
      </w:r>
    </w:p>
    <w:p w14:paraId="67464E28">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14:paraId="641359B9">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2E28D626">
      <w:pPr>
        <w:snapToGrid w:val="0"/>
        <w:spacing w:before="120" w:beforeLines="50"/>
        <w:ind w:firstLine="354" w:firstLineChars="147"/>
        <w:jc w:val="left"/>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七</w:t>
      </w:r>
      <w:r>
        <w:rPr>
          <w:rFonts w:hint="eastAsia" w:ascii="宋体" w:hAnsi="宋体"/>
          <w:b/>
          <w:color w:val="auto"/>
          <w:sz w:val="24"/>
          <w:highlight w:val="none"/>
        </w:rPr>
        <w:t>）投标文件的包装、递交、修改和撤回</w:t>
      </w:r>
    </w:p>
    <w:p w14:paraId="7A29561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14:paraId="161A480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14:paraId="1CF87FB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14:paraId="6DB3553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14:paraId="784C40AD">
      <w:pPr>
        <w:snapToGrid w:val="0"/>
        <w:spacing w:before="120" w:beforeLines="50"/>
        <w:ind w:firstLine="472" w:firstLineChars="196"/>
        <w:outlineLvl w:val="2"/>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八</w:t>
      </w:r>
      <w:r>
        <w:rPr>
          <w:rFonts w:hint="eastAsia" w:ascii="宋体" w:hAnsi="宋体"/>
          <w:b/>
          <w:color w:val="auto"/>
          <w:sz w:val="24"/>
          <w:highlight w:val="none"/>
        </w:rPr>
        <w:t>）投标无效的情形</w:t>
      </w:r>
    </w:p>
    <w:p w14:paraId="7CA28535">
      <w:pPr>
        <w:snapToGrid w:val="0"/>
        <w:spacing w:line="360" w:lineRule="exact"/>
        <w:ind w:firstLine="480" w:firstLineChars="200"/>
        <w:rPr>
          <w:rFonts w:ascii="宋体" w:hAnsi="宋体"/>
          <w:bCs/>
          <w:color w:val="auto"/>
          <w:sz w:val="24"/>
          <w:szCs w:val="20"/>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77726F6">
      <w:pPr>
        <w:snapToGrid w:val="0"/>
        <w:ind w:firstLine="480" w:firstLineChars="200"/>
        <w:rPr>
          <w:rFonts w:ascii="宋体" w:hAnsi="宋体"/>
          <w:bCs/>
          <w:color w:val="auto"/>
          <w:sz w:val="24"/>
          <w:szCs w:val="20"/>
          <w:highlight w:val="none"/>
        </w:rPr>
      </w:pPr>
    </w:p>
    <w:p w14:paraId="27AEA5D6">
      <w:pPr>
        <w:keepNext w:val="0"/>
        <w:keepLines w:val="0"/>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hint="eastAsia" w:ascii="宋体" w:hAnsi="宋体"/>
          <w:b/>
          <w:bCs/>
          <w:color w:val="auto"/>
          <w:sz w:val="24"/>
          <w:highlight w:val="none"/>
        </w:rPr>
        <w:t>1.在符合性审查和商务评审时，如发现下列情形之一的，投标文件将被视为无效：</w:t>
      </w:r>
    </w:p>
    <w:p w14:paraId="30E0AFA6">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1</w:t>
      </w:r>
      <w:r>
        <w:rPr>
          <w:rFonts w:hint="eastAsia" w:ascii="宋体" w:hAnsi="宋体" w:eastAsia="宋体"/>
          <w:bCs/>
          <w:color w:val="auto"/>
          <w:sz w:val="24"/>
          <w:highlight w:val="none"/>
          <w:lang w:val="en-US" w:eastAsia="zh-CN"/>
        </w:rPr>
        <w:t>）不具备招标文件中规定的资格要求的或资格证明文件不全的；</w:t>
      </w:r>
    </w:p>
    <w:p w14:paraId="512AFC3D">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2</w:t>
      </w:r>
      <w:r>
        <w:rPr>
          <w:rFonts w:hint="eastAsia" w:ascii="宋体" w:hAnsi="宋体" w:eastAsia="宋体"/>
          <w:bCs/>
          <w:color w:val="auto"/>
          <w:sz w:val="24"/>
          <w:highlight w:val="none"/>
          <w:lang w:val="en-US" w:eastAsia="zh-CN"/>
        </w:rPr>
        <w:t>）投标文件未按招标文件要求签署、盖章的；</w:t>
      </w:r>
    </w:p>
    <w:p w14:paraId="6AAD1EE8">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3</w:t>
      </w:r>
      <w:r>
        <w:rPr>
          <w:rFonts w:hint="eastAsia" w:ascii="宋体" w:hAnsi="宋体" w:eastAsia="宋体"/>
          <w:bCs/>
          <w:color w:val="auto"/>
          <w:sz w:val="24"/>
          <w:highlight w:val="none"/>
          <w:lang w:val="en-US" w:eastAsia="zh-CN"/>
        </w:rPr>
        <w:t xml:space="preserve">）投标代表人未能出具身份证明或与法定代表人授权委托人身份不符的； </w:t>
      </w:r>
    </w:p>
    <w:p w14:paraId="074583B6">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4</w:t>
      </w:r>
      <w:r>
        <w:rPr>
          <w:rFonts w:hint="eastAsia" w:ascii="宋体" w:hAnsi="宋体" w:eastAsia="宋体"/>
          <w:bCs/>
          <w:color w:val="auto"/>
          <w:sz w:val="24"/>
          <w:highlight w:val="none"/>
          <w:lang w:val="en-US" w:eastAsia="zh-CN"/>
        </w:rPr>
        <w:t>）投标文件组成不符合招标文件要求的；</w:t>
      </w:r>
    </w:p>
    <w:p w14:paraId="0CEE5FE9">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5</w:t>
      </w:r>
      <w:r>
        <w:rPr>
          <w:rFonts w:hint="eastAsia" w:ascii="宋体" w:hAnsi="宋体" w:eastAsia="宋体"/>
          <w:bCs/>
          <w:color w:val="auto"/>
          <w:sz w:val="24"/>
          <w:highlight w:val="none"/>
          <w:lang w:val="en-US" w:eastAsia="zh-CN"/>
        </w:rPr>
        <w:t>）投标文件未按招标文件提供的格式进行编写的；</w:t>
      </w:r>
    </w:p>
    <w:p w14:paraId="1DFA87DE">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6</w:t>
      </w:r>
      <w:r>
        <w:rPr>
          <w:rFonts w:hint="eastAsia" w:ascii="宋体" w:hAnsi="宋体" w:eastAsia="宋体"/>
          <w:bCs/>
          <w:color w:val="auto"/>
          <w:sz w:val="24"/>
          <w:highlight w:val="none"/>
          <w:lang w:val="en-US" w:eastAsia="zh-CN"/>
        </w:rPr>
        <w:t>）投标文件的实质性内容未使用中文表述或者使用计量单位不符合招标文件要求的（经评标委员会认定并允许其当场更正的笔误除外）</w:t>
      </w:r>
      <w:r>
        <w:rPr>
          <w:rFonts w:hint="eastAsia" w:ascii="宋体" w:hAnsi="宋体"/>
          <w:bCs/>
          <w:color w:val="auto"/>
          <w:sz w:val="24"/>
          <w:highlight w:val="none"/>
          <w:lang w:val="en-US" w:eastAsia="zh-CN"/>
        </w:rPr>
        <w:t>；</w:t>
      </w:r>
    </w:p>
    <w:p w14:paraId="55AB48EB">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7</w:t>
      </w:r>
      <w:r>
        <w:rPr>
          <w:rFonts w:hint="eastAsia" w:ascii="宋体" w:hAnsi="宋体" w:eastAsia="宋体"/>
          <w:bCs/>
          <w:color w:val="auto"/>
          <w:sz w:val="24"/>
          <w:highlight w:val="none"/>
          <w:lang w:val="en-US" w:eastAsia="zh-CN"/>
        </w:rPr>
        <w:t>）投标有效期、工期等商务条款不能满足招标文件要求的；</w:t>
      </w:r>
    </w:p>
    <w:p w14:paraId="72FB0495">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8</w:t>
      </w:r>
      <w:r>
        <w:rPr>
          <w:rFonts w:hint="eastAsia" w:ascii="宋体" w:hAnsi="宋体" w:eastAsia="宋体"/>
          <w:bCs/>
          <w:color w:val="auto"/>
          <w:sz w:val="24"/>
          <w:highlight w:val="none"/>
          <w:lang w:val="en-US" w:eastAsia="zh-CN"/>
        </w:rPr>
        <w:t>）未实质性响应招标文件要求或者投标文件有招标方不能接受的附加条件的；</w:t>
      </w:r>
    </w:p>
    <w:p w14:paraId="41B81FC0">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9</w:t>
      </w:r>
      <w:r>
        <w:rPr>
          <w:rFonts w:hint="eastAsia" w:ascii="宋体" w:hAnsi="宋体" w:eastAsia="宋体"/>
          <w:bCs/>
          <w:color w:val="auto"/>
          <w:sz w:val="24"/>
          <w:highlight w:val="none"/>
          <w:lang w:val="en-US" w:eastAsia="zh-CN"/>
        </w:rPr>
        <w:t>）技术资信标跟商务标出现混装或在技术资信标中出现投标报价的；</w:t>
      </w:r>
    </w:p>
    <w:p w14:paraId="299BF011">
      <w:pPr>
        <w:keepNext w:val="0"/>
        <w:keepLines w:val="0"/>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10</w:t>
      </w:r>
      <w:r>
        <w:rPr>
          <w:rFonts w:hint="eastAsia" w:ascii="宋体" w:hAnsi="宋体" w:eastAsia="宋体"/>
          <w:bCs/>
          <w:color w:val="auto"/>
          <w:sz w:val="24"/>
          <w:highlight w:val="none"/>
          <w:lang w:val="en-US" w:eastAsia="zh-CN"/>
        </w:rPr>
        <w:t>）两家或两家以上投标单位上传投标文件的ip地址（或工程清单锁地址）相同，视为串标行为，取消评标资格</w:t>
      </w:r>
      <w:r>
        <w:rPr>
          <w:rFonts w:hint="eastAsia" w:ascii="宋体" w:hAnsi="宋体"/>
          <w:bCs/>
          <w:color w:val="auto"/>
          <w:sz w:val="24"/>
          <w:highlight w:val="none"/>
          <w:lang w:val="en-US" w:eastAsia="zh-CN"/>
        </w:rPr>
        <w:t>；</w:t>
      </w:r>
    </w:p>
    <w:p w14:paraId="60B66E3C">
      <w:pPr>
        <w:keepNext w:val="0"/>
        <w:keepLines w:val="0"/>
        <w:pageBreakBefore w:val="0"/>
        <w:widowControl w:val="0"/>
        <w:kinsoku/>
        <w:wordWrap/>
        <w:overflowPunct/>
        <w:topLinePunct w:val="0"/>
        <w:bidi w:val="0"/>
        <w:snapToGrid w:val="0"/>
        <w:spacing w:line="360" w:lineRule="auto"/>
        <w:ind w:firstLine="470" w:firstLineChars="196"/>
        <w:textAlignment w:val="auto"/>
        <w:rPr>
          <w:rFonts w:ascii="宋体" w:hAnsi="宋体"/>
          <w:color w:val="auto"/>
          <w:sz w:val="24"/>
          <w:highlight w:val="none"/>
        </w:rPr>
      </w:pPr>
      <w:r>
        <w:rPr>
          <w:rFonts w:hint="eastAsia" w:ascii="宋体" w:hAnsi="宋体" w:eastAsia="宋体"/>
          <w:bCs/>
          <w:color w:val="auto"/>
          <w:sz w:val="24"/>
          <w:highlight w:val="none"/>
          <w:lang w:val="en-US" w:eastAsia="zh-CN"/>
        </w:rPr>
        <w:t>（</w:t>
      </w:r>
      <w:r>
        <w:rPr>
          <w:rFonts w:hint="eastAsia" w:ascii="宋体" w:hAnsi="宋体"/>
          <w:bCs/>
          <w:color w:val="auto"/>
          <w:sz w:val="24"/>
          <w:highlight w:val="none"/>
          <w:lang w:val="en-US" w:eastAsia="zh-CN"/>
        </w:rPr>
        <w:t>11</w:t>
      </w:r>
      <w:r>
        <w:rPr>
          <w:rFonts w:hint="eastAsia" w:ascii="宋体" w:hAnsi="宋体" w:eastAsia="宋体"/>
          <w:bCs/>
          <w:color w:val="auto"/>
          <w:sz w:val="24"/>
          <w:highlight w:val="none"/>
          <w:lang w:val="en-US" w:eastAsia="zh-CN"/>
        </w:rPr>
        <w:t>）法律法规或规章规定属无效标情形的</w:t>
      </w:r>
      <w:r>
        <w:rPr>
          <w:rFonts w:hint="eastAsia" w:ascii="宋体" w:hAnsi="宋体"/>
          <w:bCs/>
          <w:color w:val="auto"/>
          <w:sz w:val="24"/>
          <w:highlight w:val="none"/>
          <w:lang w:val="en-US" w:eastAsia="zh-CN"/>
        </w:rPr>
        <w:t>。</w:t>
      </w:r>
    </w:p>
    <w:p w14:paraId="629D184A">
      <w:pPr>
        <w:pStyle w:val="24"/>
        <w:pageBreakBefore w:val="0"/>
        <w:widowControl w:val="0"/>
        <w:kinsoku/>
        <w:wordWrap/>
        <w:overflowPunct/>
        <w:topLinePunct w:val="0"/>
        <w:bidi w:val="0"/>
        <w:snapToGrid w:val="0"/>
        <w:spacing w:line="360" w:lineRule="auto"/>
        <w:ind w:firstLine="457" w:firstLineChars="196"/>
        <w:textAlignment w:val="auto"/>
        <w:rPr>
          <w:rFonts w:hAnsi="宋体"/>
          <w:b/>
          <w:bCs/>
          <w:color w:val="auto"/>
          <w:sz w:val="24"/>
          <w:highlight w:val="none"/>
        </w:rPr>
      </w:pPr>
      <w:r>
        <w:rPr>
          <w:rFonts w:hAnsi="宋体"/>
          <w:b/>
          <w:bCs/>
          <w:color w:val="auto"/>
          <w:sz w:val="24"/>
          <w:highlight w:val="none"/>
        </w:rPr>
        <w:t>2.在</w:t>
      </w:r>
      <w:r>
        <w:rPr>
          <w:rFonts w:hint="eastAsia" w:hAnsi="宋体"/>
          <w:b/>
          <w:bCs/>
          <w:color w:val="auto"/>
          <w:sz w:val="24"/>
          <w:highlight w:val="none"/>
          <w:lang w:val="en-US" w:eastAsia="zh-CN"/>
        </w:rPr>
        <w:t>商务标</w:t>
      </w:r>
      <w:r>
        <w:rPr>
          <w:rFonts w:hAnsi="宋体"/>
          <w:b/>
          <w:bCs/>
          <w:color w:val="auto"/>
          <w:sz w:val="24"/>
          <w:highlight w:val="none"/>
        </w:rPr>
        <w:t>评审时，如发现下列情形之一的，</w:t>
      </w:r>
      <w:r>
        <w:rPr>
          <w:rFonts w:hint="eastAsia" w:hAnsi="宋体"/>
          <w:b/>
          <w:bCs/>
          <w:color w:val="auto"/>
          <w:sz w:val="24"/>
          <w:highlight w:val="none"/>
        </w:rPr>
        <w:t>投标文件</w:t>
      </w:r>
      <w:r>
        <w:rPr>
          <w:rFonts w:hAnsi="宋体"/>
          <w:b/>
          <w:bCs/>
          <w:color w:val="auto"/>
          <w:sz w:val="24"/>
          <w:highlight w:val="none"/>
        </w:rPr>
        <w:t>将被视为无效：</w:t>
      </w:r>
    </w:p>
    <w:p w14:paraId="4F70EA0E">
      <w:pPr>
        <w:pStyle w:val="24"/>
        <w:snapToGrid w:val="0"/>
        <w:spacing w:line="360" w:lineRule="auto"/>
        <w:ind w:firstLine="454" w:firstLineChars="196"/>
        <w:rPr>
          <w:rFonts w:hAnsi="宋体"/>
          <w:color w:val="auto"/>
          <w:sz w:val="24"/>
          <w:highlight w:val="none"/>
        </w:rPr>
      </w:pPr>
      <w:r>
        <w:rPr>
          <w:rFonts w:hAnsi="宋体"/>
          <w:color w:val="auto"/>
          <w:sz w:val="24"/>
          <w:highlight w:val="none"/>
        </w:rPr>
        <w:t>（1）未采用人民币报价或者未按照招标文件标明的币种报价的；</w:t>
      </w:r>
    </w:p>
    <w:p w14:paraId="13822622">
      <w:pPr>
        <w:pStyle w:val="24"/>
        <w:snapToGrid w:val="0"/>
        <w:spacing w:line="360" w:lineRule="auto"/>
        <w:ind w:firstLine="454" w:firstLineChars="196"/>
        <w:rPr>
          <w:rFonts w:hAnsi="宋体"/>
          <w:color w:val="auto"/>
          <w:sz w:val="24"/>
          <w:highlight w:val="none"/>
        </w:rPr>
      </w:pPr>
      <w:r>
        <w:rPr>
          <w:rFonts w:hAnsi="宋体"/>
          <w:color w:val="auto"/>
          <w:sz w:val="24"/>
          <w:highlight w:val="none"/>
        </w:rPr>
        <w:t>（2）投标报价具有选择性，或者开标价格与投标文件承诺的优惠（折扣）价格不一致的；</w:t>
      </w:r>
    </w:p>
    <w:p w14:paraId="6065682F">
      <w:pPr>
        <w:pStyle w:val="24"/>
        <w:snapToGrid w:val="0"/>
        <w:spacing w:line="360" w:lineRule="auto"/>
        <w:ind w:firstLine="454" w:firstLineChars="196"/>
        <w:rPr>
          <w:rFonts w:hint="eastAsia" w:hAnsi="宋体"/>
          <w:color w:val="auto"/>
          <w:sz w:val="24"/>
          <w:highlight w:val="none"/>
        </w:rPr>
      </w:pPr>
      <w:r>
        <w:rPr>
          <w:rFonts w:hAnsi="宋体"/>
          <w:color w:val="auto"/>
          <w:sz w:val="24"/>
          <w:highlight w:val="none"/>
        </w:rPr>
        <w:t>（3）投标报价不得超过总价最高限价，超过总价最高限价的报价为无效标</w:t>
      </w:r>
      <w:r>
        <w:rPr>
          <w:rFonts w:hint="eastAsia" w:hAnsi="宋体"/>
          <w:color w:val="auto"/>
          <w:sz w:val="24"/>
          <w:highlight w:val="none"/>
        </w:rPr>
        <w:t>；</w:t>
      </w:r>
    </w:p>
    <w:p w14:paraId="63FE9B46">
      <w:pPr>
        <w:pStyle w:val="24"/>
        <w:snapToGrid w:val="0"/>
        <w:spacing w:line="360" w:lineRule="auto"/>
        <w:ind w:firstLine="454" w:firstLineChars="196"/>
        <w:rPr>
          <w:rFonts w:hint="default" w:eastAsia="宋体"/>
          <w:lang w:val="en-US" w:eastAsia="zh-CN"/>
        </w:rPr>
      </w:pPr>
      <w:r>
        <w:rPr>
          <w:rFonts w:hint="eastAsia" w:hAnsi="宋体"/>
          <w:color w:val="auto"/>
          <w:sz w:val="24"/>
          <w:highlight w:val="none"/>
          <w:lang w:eastAsia="zh-CN"/>
        </w:rPr>
        <w:t>（</w:t>
      </w:r>
      <w:r>
        <w:rPr>
          <w:rFonts w:hint="eastAsia" w:hAnsi="宋体"/>
          <w:color w:val="auto"/>
          <w:sz w:val="24"/>
          <w:highlight w:val="none"/>
          <w:lang w:val="en-US" w:eastAsia="zh-CN"/>
        </w:rPr>
        <w:t>4</w:t>
      </w:r>
      <w:r>
        <w:rPr>
          <w:rFonts w:hint="eastAsia" w:hAnsi="宋体"/>
          <w:color w:val="auto"/>
          <w:sz w:val="24"/>
          <w:highlight w:val="none"/>
          <w:lang w:eastAsia="zh-CN"/>
        </w:rPr>
        <w:t>）</w:t>
      </w:r>
      <w:r>
        <w:rPr>
          <w:rFonts w:hint="eastAsia" w:hAnsi="宋体"/>
          <w:color w:val="auto"/>
          <w:sz w:val="24"/>
          <w:highlight w:val="none"/>
          <w:lang w:val="en-US" w:eastAsia="zh-CN"/>
        </w:rPr>
        <w:t>未按照招标文件要求报价的；</w:t>
      </w:r>
    </w:p>
    <w:p w14:paraId="597D3E3E">
      <w:pPr>
        <w:pStyle w:val="24"/>
        <w:snapToGrid w:val="0"/>
        <w:spacing w:line="360" w:lineRule="auto"/>
        <w:ind w:firstLine="454" w:firstLineChars="196"/>
        <w:rPr>
          <w:rFonts w:hint="eastAsia" w:hAnsi="宋体" w:eastAsia="宋体"/>
          <w:b/>
          <w:color w:val="auto"/>
          <w:sz w:val="24"/>
          <w:highlight w:val="none"/>
          <w:lang w:val="en-US" w:eastAsia="zh-CN"/>
        </w:rPr>
      </w:pPr>
      <w:r>
        <w:rPr>
          <w:rFonts w:hint="eastAsia" w:hAnsi="宋体"/>
          <w:color w:val="auto"/>
          <w:sz w:val="24"/>
          <w:highlight w:val="none"/>
          <w:lang w:eastAsia="zh-CN"/>
        </w:rPr>
        <w:t>（</w:t>
      </w:r>
      <w:r>
        <w:rPr>
          <w:rFonts w:hint="eastAsia" w:hAnsi="宋体"/>
          <w:color w:val="auto"/>
          <w:sz w:val="24"/>
          <w:highlight w:val="none"/>
          <w:lang w:val="en-US" w:eastAsia="zh-CN"/>
        </w:rPr>
        <w:t>5</w:t>
      </w:r>
      <w:r>
        <w:rPr>
          <w:rFonts w:hint="eastAsia" w:hAnsi="宋体"/>
          <w:color w:val="auto"/>
          <w:sz w:val="24"/>
          <w:highlight w:val="none"/>
        </w:rPr>
        <w:t>）</w:t>
      </w:r>
      <w:r>
        <w:rPr>
          <w:rFonts w:hAnsi="宋体"/>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 w:val="24"/>
          <w:highlight w:val="none"/>
        </w:rPr>
        <w:t>；</w:t>
      </w:r>
      <w:r>
        <w:rPr>
          <w:rFonts w:hAnsi="宋体"/>
          <w:b/>
          <w:color w:val="auto"/>
          <w:sz w:val="24"/>
          <w:highlight w:val="none"/>
        </w:rPr>
        <w:t>投标人不能证明其报价合理性的，评标委员会应当将其作为无效投标处理</w:t>
      </w:r>
      <w:r>
        <w:rPr>
          <w:rFonts w:hint="eastAsia" w:hAnsi="宋体"/>
          <w:b/>
          <w:color w:val="auto"/>
          <w:sz w:val="24"/>
          <w:highlight w:val="none"/>
          <w:lang w:eastAsia="zh-CN"/>
        </w:rPr>
        <w:t>；</w:t>
      </w:r>
    </w:p>
    <w:p w14:paraId="00140615">
      <w:pPr>
        <w:snapToGrid w:val="0"/>
        <w:spacing w:line="360" w:lineRule="exact"/>
        <w:ind w:firstLine="470" w:firstLineChars="196"/>
        <w:rPr>
          <w:highlight w:val="none"/>
        </w:rPr>
      </w:pP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rPr>
        <w:t>）法律法规或规章规定属无效标情形的。</w:t>
      </w:r>
    </w:p>
    <w:p w14:paraId="44B47AA6">
      <w:pPr>
        <w:pStyle w:val="3"/>
        <w:snapToGrid w:val="0"/>
        <w:spacing w:before="120" w:after="120" w:line="240" w:lineRule="auto"/>
        <w:rPr>
          <w:rFonts w:hAnsi="宋体"/>
          <w:b/>
          <w:color w:val="auto"/>
          <w:sz w:val="30"/>
          <w:szCs w:val="30"/>
          <w:highlight w:val="none"/>
        </w:rPr>
      </w:pPr>
      <w:r>
        <w:rPr>
          <w:rFonts w:hint="eastAsia" w:hAnsi="宋体"/>
          <w:b/>
          <w:color w:val="auto"/>
          <w:sz w:val="30"/>
          <w:szCs w:val="30"/>
          <w:highlight w:val="none"/>
        </w:rPr>
        <w:t>四、开标</w:t>
      </w:r>
    </w:p>
    <w:p w14:paraId="31CAA3C3">
      <w:pPr>
        <w:snapToGrid w:val="0"/>
        <w:spacing w:line="360" w:lineRule="auto"/>
        <w:ind w:firstLine="482" w:firstLineChars="200"/>
        <w:rPr>
          <w:rFonts w:ascii="宋体" w:hAnsi="宋体" w:eastAsia="宋体" w:cs="宋体"/>
          <w:b/>
          <w:bCs/>
          <w:sz w:val="24"/>
          <w:highlight w:val="none"/>
        </w:rPr>
      </w:pPr>
      <w:r>
        <w:rPr>
          <w:rFonts w:ascii="宋体" w:hAnsi="宋体" w:eastAsia="宋体" w:cs="宋体"/>
          <w:b/>
          <w:bCs/>
          <w:sz w:val="24"/>
          <w:highlight w:val="none"/>
        </w:rPr>
        <w:t>（一）开标准备</w:t>
      </w:r>
    </w:p>
    <w:p w14:paraId="5D5E03CB">
      <w:pPr>
        <w:snapToGrid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投标人代表一律不参加现场开标，通过在线直播参与监督开标过程。</w:t>
      </w:r>
      <w:r>
        <w:rPr>
          <w:rFonts w:hint="eastAsia" w:ascii="宋体" w:hAnsi="宋体" w:eastAsia="宋体" w:cs="宋体"/>
          <w:sz w:val="24"/>
          <w:highlight w:val="none"/>
        </w:rPr>
        <w:t>不见面开标大厅</w:t>
      </w:r>
      <w:r>
        <w:rPr>
          <w:rFonts w:ascii="宋体" w:hAnsi="宋体" w:eastAsia="宋体" w:cs="宋体"/>
          <w:sz w:val="24"/>
          <w:highlight w:val="none"/>
        </w:rPr>
        <w:t>：</w:t>
      </w:r>
      <w:r>
        <w:rPr>
          <w:rFonts w:hint="eastAsia" w:ascii="宋体" w:hAnsi="宋体" w:eastAsia="宋体" w:cs="宋体"/>
          <w:sz w:val="24"/>
          <w:highlight w:val="none"/>
        </w:rPr>
        <w:t>https://www.tzygcg.com/live/</w:t>
      </w:r>
      <w:r>
        <w:rPr>
          <w:rFonts w:ascii="宋体" w:hAnsi="宋体" w:eastAsia="宋体" w:cs="宋体"/>
          <w:sz w:val="24"/>
          <w:highlight w:val="none"/>
        </w:rPr>
        <w:t>。</w:t>
      </w:r>
    </w:p>
    <w:p w14:paraId="18C07B2C">
      <w:pPr>
        <w:numPr>
          <w:ilvl w:val="0"/>
          <w:numId w:val="7"/>
        </w:numPr>
        <w:snapToGrid w:val="0"/>
        <w:spacing w:line="360" w:lineRule="auto"/>
        <w:ind w:firstLine="482" w:firstLineChars="200"/>
        <w:rPr>
          <w:rFonts w:ascii="宋体" w:hAnsi="宋体" w:eastAsia="宋体" w:cs="宋体"/>
          <w:b/>
          <w:bCs/>
          <w:sz w:val="24"/>
          <w:highlight w:val="none"/>
        </w:rPr>
      </w:pPr>
      <w:r>
        <w:rPr>
          <w:rFonts w:ascii="宋体" w:hAnsi="宋体" w:eastAsia="宋体" w:cs="宋体"/>
          <w:b/>
          <w:bCs/>
          <w:sz w:val="24"/>
          <w:highlight w:val="none"/>
        </w:rPr>
        <w:t>开标程序：</w:t>
      </w:r>
    </w:p>
    <w:p w14:paraId="5086BE10">
      <w:pPr>
        <w:pStyle w:val="3"/>
        <w:numPr>
          <w:ilvl w:val="0"/>
          <w:numId w:val="0"/>
        </w:numPr>
        <w:snapToGrid w:val="0"/>
        <w:spacing w:beforeLines="0" w:afterLines="0" w:line="360" w:lineRule="auto"/>
        <w:ind w:firstLine="480" w:firstLineChars="200"/>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详见投标人须知前附表1</w:t>
      </w:r>
      <w:r>
        <w:rPr>
          <w:rFonts w:hint="eastAsia"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w:t>
      </w:r>
    </w:p>
    <w:p w14:paraId="64AAF289">
      <w:pPr>
        <w:pStyle w:val="3"/>
        <w:pageBreakBefore w:val="0"/>
        <w:widowControl w:val="0"/>
        <w:kinsoku/>
        <w:wordWrap/>
        <w:overflowPunct/>
        <w:topLinePunct w:val="0"/>
        <w:bidi w:val="0"/>
        <w:snapToGrid w:val="0"/>
        <w:spacing w:before="0" w:beforeLines="0" w:after="0" w:afterLines="0" w:line="360" w:lineRule="auto"/>
        <w:ind w:left="1029" w:leftChars="193" w:hanging="489" w:hangingChars="174"/>
        <w:textAlignment w:val="auto"/>
        <w:outlineLvl w:val="1"/>
        <w:rPr>
          <w:rFonts w:hAnsi="宋体"/>
          <w:b/>
          <w:color w:val="auto"/>
          <w:sz w:val="28"/>
          <w:szCs w:val="28"/>
          <w:highlight w:val="none"/>
        </w:rPr>
      </w:pPr>
      <w:r>
        <w:rPr>
          <w:rFonts w:hAnsi="宋体"/>
          <w:b/>
          <w:color w:val="auto"/>
          <w:sz w:val="28"/>
          <w:szCs w:val="28"/>
          <w:highlight w:val="none"/>
        </w:rPr>
        <w:t>五、评标</w:t>
      </w:r>
    </w:p>
    <w:p w14:paraId="197F9A14">
      <w:pPr>
        <w:pStyle w:val="3"/>
        <w:pageBreakBefore w:val="0"/>
        <w:widowControl w:val="0"/>
        <w:kinsoku/>
        <w:wordWrap/>
        <w:overflowPunct/>
        <w:topLinePunct w:val="0"/>
        <w:bidi w:val="0"/>
        <w:snapToGrid w:val="0"/>
        <w:spacing w:before="0" w:beforeLines="0" w:after="0" w:afterLines="0" w:line="360" w:lineRule="auto"/>
        <w:ind w:left="876" w:leftChars="128" w:hanging="518" w:hangingChars="215"/>
        <w:textAlignment w:val="auto"/>
        <w:rPr>
          <w:rFonts w:hAnsi="宋体"/>
          <w:b/>
          <w:color w:val="auto"/>
          <w:highlight w:val="none"/>
        </w:rPr>
      </w:pPr>
      <w:r>
        <w:rPr>
          <w:rFonts w:hAnsi="宋体"/>
          <w:b/>
          <w:color w:val="auto"/>
          <w:highlight w:val="none"/>
        </w:rPr>
        <w:t>（一）组建</w:t>
      </w:r>
      <w:r>
        <w:rPr>
          <w:rFonts w:hint="eastAsia" w:hAnsi="宋体"/>
          <w:b/>
          <w:color w:val="auto"/>
          <w:highlight w:val="none"/>
        </w:rPr>
        <w:t>评标委员会</w:t>
      </w:r>
    </w:p>
    <w:p w14:paraId="7EBBD6F6">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本项目评标委员会由评审专家和</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代表</w:t>
      </w:r>
      <w:r>
        <w:rPr>
          <w:rFonts w:hint="eastAsia" w:ascii="宋体" w:hAnsi="宋体" w:cs="宋体"/>
          <w:color w:val="auto"/>
          <w:sz w:val="24"/>
          <w:szCs w:val="24"/>
          <w:highlight w:val="none"/>
          <w:lang w:eastAsia="zh-CN"/>
        </w:rPr>
        <w:t>（如有）</w:t>
      </w:r>
      <w:r>
        <w:rPr>
          <w:rFonts w:hint="eastAsia" w:ascii="宋体" w:hAnsi="宋体" w:cs="宋体"/>
          <w:color w:val="auto"/>
          <w:sz w:val="24"/>
          <w:szCs w:val="24"/>
          <w:highlight w:val="none"/>
        </w:rPr>
        <w:t>组成</w:t>
      </w:r>
      <w:r>
        <w:rPr>
          <w:rFonts w:hint="eastAsia" w:ascii="宋体" w:hAnsi="宋体" w:cs="宋体"/>
          <w:color w:val="auto"/>
          <w:sz w:val="24"/>
          <w:szCs w:val="24"/>
          <w:highlight w:val="none"/>
          <w:lang w:eastAsia="zh-CN"/>
        </w:rPr>
        <w:t>。</w:t>
      </w:r>
    </w:p>
    <w:p w14:paraId="0C3EFFBA">
      <w:pPr>
        <w:pStyle w:val="3"/>
        <w:pageBreakBefore w:val="0"/>
        <w:widowControl w:val="0"/>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（二）评标的方式</w:t>
      </w:r>
    </w:p>
    <w:p w14:paraId="3E617F6C">
      <w:pPr>
        <w:pStyle w:val="3"/>
        <w:pageBreakBefore w:val="0"/>
        <w:widowControl w:val="0"/>
        <w:kinsoku/>
        <w:wordWrap/>
        <w:overflowPunct/>
        <w:topLinePunct w:val="0"/>
        <w:bidi w:val="0"/>
        <w:snapToGrid w:val="0"/>
        <w:spacing w:before="0" w:beforeLines="0" w:after="0" w:afterLines="0" w:line="360" w:lineRule="auto"/>
        <w:ind w:left="878" w:leftChars="228" w:hanging="240" w:hangingChars="100"/>
        <w:textAlignment w:val="auto"/>
        <w:rPr>
          <w:rFonts w:hAnsi="宋体"/>
          <w:color w:val="auto"/>
          <w:highlight w:val="none"/>
        </w:rPr>
      </w:pPr>
      <w:r>
        <w:rPr>
          <w:rFonts w:hAnsi="宋体"/>
          <w:color w:val="auto"/>
          <w:highlight w:val="none"/>
        </w:rPr>
        <w:t>本项目采用不公开方式评标，评标的依据为</w:t>
      </w:r>
      <w:r>
        <w:rPr>
          <w:rFonts w:hint="eastAsia" w:hAnsi="宋体"/>
          <w:color w:val="auto"/>
          <w:highlight w:val="none"/>
        </w:rPr>
        <w:t>招标文件</w:t>
      </w:r>
      <w:r>
        <w:rPr>
          <w:rFonts w:hAnsi="宋体"/>
          <w:color w:val="auto"/>
          <w:highlight w:val="none"/>
        </w:rPr>
        <w:t>和</w:t>
      </w:r>
      <w:r>
        <w:rPr>
          <w:rFonts w:hint="eastAsia" w:hAnsi="宋体"/>
          <w:color w:val="auto"/>
          <w:highlight w:val="none"/>
        </w:rPr>
        <w:t>投标文件</w:t>
      </w:r>
      <w:r>
        <w:rPr>
          <w:rFonts w:hAnsi="宋体"/>
          <w:color w:val="auto"/>
          <w:highlight w:val="none"/>
        </w:rPr>
        <w:t>。</w:t>
      </w:r>
    </w:p>
    <w:p w14:paraId="1B7B094E">
      <w:pPr>
        <w:pStyle w:val="3"/>
        <w:pageBreakBefore w:val="0"/>
        <w:widowControl w:val="0"/>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（三）</w:t>
      </w:r>
      <w:r>
        <w:rPr>
          <w:rFonts w:hAnsi="宋体"/>
          <w:b/>
          <w:bCs/>
          <w:color w:val="auto"/>
          <w:highlight w:val="none"/>
        </w:rPr>
        <w:t>评标程序</w:t>
      </w:r>
    </w:p>
    <w:p w14:paraId="2A6C8CCC">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14:paraId="610525A0">
      <w:pPr>
        <w:pageBreakBefore w:val="0"/>
        <w:widowControl w:val="0"/>
        <w:kinsoku/>
        <w:wordWrap/>
        <w:overflowPunct/>
        <w:topLinePunct w:val="0"/>
        <w:bidi w:val="0"/>
        <w:snapToGrid w:val="0"/>
        <w:spacing w:line="360" w:lineRule="auto"/>
        <w:ind w:firstLine="480" w:firstLineChars="200"/>
        <w:textAlignment w:val="auto"/>
        <w:rPr>
          <w:rFonts w:ascii="宋体" w:hAnsi="宋体"/>
          <w:b/>
          <w:color w:val="auto"/>
          <w:sz w:val="24"/>
          <w:szCs w:val="20"/>
          <w:highlight w:val="none"/>
        </w:rPr>
      </w:pPr>
      <w:r>
        <w:rPr>
          <w:rFonts w:hint="eastAsia" w:ascii="宋体" w:hAnsi="宋体"/>
          <w:color w:val="auto"/>
          <w:sz w:val="24"/>
          <w:highlight w:val="none"/>
          <w:lang w:val="en-US" w:eastAsia="zh-CN"/>
        </w:rPr>
        <w:t>招标人</w:t>
      </w:r>
      <w:r>
        <w:rPr>
          <w:rFonts w:hint="eastAsia" w:ascii="宋体" w:hAnsi="宋体"/>
          <w:color w:val="auto"/>
          <w:sz w:val="24"/>
          <w:highlight w:val="none"/>
        </w:rPr>
        <w:t>代表和代理机构工作人员协助评标委员会对投标人的资格和投标文件的完整性、合法性等进行审查。</w:t>
      </w:r>
    </w:p>
    <w:p w14:paraId="412C3F56">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14:paraId="1D3E34CE">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（1）评标委员会审查投标文件的实质性内容是否符合招标文件的实质性要求。</w:t>
      </w:r>
    </w:p>
    <w:p w14:paraId="6D7975B4">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032E2149">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（3）评标委员会完成评标后,评委对各部分得分汇总,计算出本项目最终得分。评标委员会按评标原则推荐中标候选人同时起草评标报告。</w:t>
      </w:r>
    </w:p>
    <w:p w14:paraId="4F271F7A">
      <w:pPr>
        <w:pageBreakBefore w:val="0"/>
        <w:widowControl w:val="0"/>
        <w:kinsoku/>
        <w:wordWrap/>
        <w:overflowPunct/>
        <w:topLinePunct w:val="0"/>
        <w:bidi w:val="0"/>
        <w:snapToGrid w:val="0"/>
        <w:spacing w:line="360" w:lineRule="auto"/>
        <w:ind w:firstLine="359" w:firstLineChars="149"/>
        <w:textAlignment w:val="auto"/>
        <w:rPr>
          <w:rFonts w:ascii="宋体" w:hAnsi="宋体"/>
          <w:b/>
          <w:color w:val="auto"/>
          <w:sz w:val="24"/>
          <w:szCs w:val="20"/>
          <w:highlight w:val="none"/>
        </w:rPr>
      </w:pPr>
      <w:r>
        <w:rPr>
          <w:rFonts w:hint="eastAsia" w:ascii="宋体" w:hAnsi="宋体"/>
          <w:b/>
          <w:color w:val="auto"/>
          <w:sz w:val="24"/>
          <w:highlight w:val="none"/>
        </w:rPr>
        <w:t>（四）澄清问题的形式</w:t>
      </w:r>
    </w:p>
    <w:p w14:paraId="7ECA1C26">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发送到邮箱或不见面开标大厅的“互动”模块，并不得超出投标文件的范围或者改变投标文件的实质性内容。</w:t>
      </w:r>
    </w:p>
    <w:p w14:paraId="12F4F3BC">
      <w:pPr>
        <w:pStyle w:val="3"/>
        <w:pageBreakBefore w:val="0"/>
        <w:widowControl w:val="0"/>
        <w:kinsoku/>
        <w:wordWrap/>
        <w:overflowPunct/>
        <w:topLinePunct w:val="0"/>
        <w:bidi w:val="0"/>
        <w:snapToGrid w:val="0"/>
        <w:spacing w:before="0" w:beforeLines="0" w:after="0" w:afterLines="0" w:line="360" w:lineRule="auto"/>
        <w:ind w:left="877" w:leftChars="129" w:hanging="516" w:hangingChars="214"/>
        <w:textAlignment w:val="auto"/>
        <w:rPr>
          <w:rFonts w:hAnsi="宋体"/>
          <w:b/>
          <w:color w:val="auto"/>
          <w:highlight w:val="none"/>
        </w:rPr>
      </w:pPr>
      <w:r>
        <w:rPr>
          <w:rFonts w:hAnsi="宋体"/>
          <w:b/>
          <w:color w:val="auto"/>
          <w:highlight w:val="none"/>
        </w:rPr>
        <w:t>（五）错误修正</w:t>
      </w:r>
    </w:p>
    <w:p w14:paraId="18B4FE6D">
      <w:pPr>
        <w:pStyle w:val="3"/>
        <w:snapToGrid w:val="0"/>
        <w:spacing w:beforeLines="0" w:afterLines="0" w:line="360" w:lineRule="auto"/>
        <w:ind w:firstLine="480" w:firstLineChars="200"/>
        <w:rPr>
          <w:rFonts w:hAnsi="宋体"/>
          <w:color w:val="auto"/>
          <w:highlight w:val="none"/>
        </w:rPr>
      </w:pPr>
      <w:r>
        <w:rPr>
          <w:rFonts w:hint="eastAsia" w:hAnsi="宋体"/>
          <w:color w:val="auto"/>
          <w:highlight w:val="none"/>
        </w:rPr>
        <w:t>商务标</w:t>
      </w:r>
      <w:r>
        <w:rPr>
          <w:rFonts w:hAnsi="宋体"/>
          <w:color w:val="auto"/>
          <w:highlight w:val="none"/>
        </w:rPr>
        <w:t>如果出现计算或表达上的错误，修正错误的原则如下：</w:t>
      </w:r>
    </w:p>
    <w:p w14:paraId="4931FE26">
      <w:pPr>
        <w:pStyle w:val="3"/>
        <w:numPr>
          <w:ilvl w:val="0"/>
          <w:numId w:val="0"/>
        </w:numPr>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w:t>
      </w:r>
      <w:bookmarkStart w:id="25" w:name="OLE_LINK20"/>
      <w:r>
        <w:rPr>
          <w:rFonts w:hint="eastAsia" w:hAnsi="宋体" w:cs="宋体"/>
          <w:kern w:val="2"/>
          <w:sz w:val="24"/>
          <w:szCs w:val="24"/>
          <w:highlight w:val="none"/>
          <w:lang w:val="en-US" w:eastAsia="zh-CN" w:bidi="ar-SA"/>
        </w:rPr>
        <w:t>.</w:t>
      </w:r>
      <w:bookmarkEnd w:id="25"/>
      <w:r>
        <w:rPr>
          <w:rFonts w:hint="eastAsia" w:ascii="宋体" w:hAnsi="宋体" w:eastAsia="宋体" w:cs="宋体"/>
          <w:sz w:val="24"/>
          <w:highlight w:val="none"/>
        </w:rPr>
        <w:t>“台州市阳光采购平台”上开启的投标报价与电子投标文件中开标一览表内容不一致的，以电子投标文件中开标一览表为准；</w:t>
      </w:r>
    </w:p>
    <w:p w14:paraId="75159F6D">
      <w:pPr>
        <w:pStyle w:val="3"/>
        <w:numPr>
          <w:ilvl w:val="0"/>
          <w:numId w:val="0"/>
        </w:numPr>
        <w:snapToGrid w:val="0"/>
        <w:spacing w:beforeLines="0" w:afterLines="0"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hAnsi="宋体" w:cs="宋体"/>
          <w:kern w:val="2"/>
          <w:sz w:val="24"/>
          <w:szCs w:val="24"/>
          <w:highlight w:val="none"/>
          <w:lang w:val="en-US" w:eastAsia="zh-CN" w:bidi="ar-SA"/>
        </w:rPr>
        <w:t>.</w:t>
      </w:r>
      <w:r>
        <w:rPr>
          <w:rFonts w:hint="eastAsia" w:ascii="宋体" w:hAnsi="宋体" w:eastAsia="宋体" w:cs="宋体"/>
          <w:sz w:val="24"/>
          <w:highlight w:val="none"/>
        </w:rPr>
        <w:t>投标文件中开标一览表内容与投标文件中相应内容不一致的，以开标一览表为</w:t>
      </w:r>
      <w:r>
        <w:rPr>
          <w:rFonts w:hint="eastAsia" w:ascii="宋体" w:hAnsi="宋体" w:eastAsia="宋体" w:cs="宋体"/>
          <w:sz w:val="24"/>
          <w:highlight w:val="none"/>
          <w:lang w:val="en-US" w:eastAsia="zh-CN"/>
        </w:rPr>
        <w:t>准；</w:t>
      </w:r>
    </w:p>
    <w:p w14:paraId="0E97C54F">
      <w:pPr>
        <w:pStyle w:val="3"/>
        <w:numPr>
          <w:ilvl w:val="0"/>
          <w:numId w:val="0"/>
        </w:numPr>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hAnsi="宋体" w:cs="宋体"/>
          <w:kern w:val="2"/>
          <w:sz w:val="24"/>
          <w:szCs w:val="24"/>
          <w:highlight w:val="none"/>
          <w:lang w:val="en-US" w:eastAsia="zh-CN" w:bidi="ar-SA"/>
        </w:rPr>
        <w:t>.</w:t>
      </w:r>
      <w:r>
        <w:rPr>
          <w:rFonts w:hint="eastAsia" w:ascii="宋体" w:hAnsi="宋体" w:eastAsia="宋体" w:cs="宋体"/>
          <w:sz w:val="24"/>
          <w:highlight w:val="none"/>
        </w:rPr>
        <w:t>大写金额和小写金额不一致的，以大写金额为准；</w:t>
      </w:r>
    </w:p>
    <w:p w14:paraId="122FEE93">
      <w:pPr>
        <w:pStyle w:val="3"/>
        <w:numPr>
          <w:ilvl w:val="0"/>
          <w:numId w:val="0"/>
        </w:numPr>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hAnsi="宋体" w:cs="宋体"/>
          <w:kern w:val="2"/>
          <w:sz w:val="24"/>
          <w:szCs w:val="24"/>
          <w:highlight w:val="none"/>
          <w:lang w:val="en-US" w:eastAsia="zh-CN" w:bidi="ar-SA"/>
        </w:rPr>
        <w:t>.</w:t>
      </w:r>
      <w:r>
        <w:rPr>
          <w:rFonts w:hint="eastAsia" w:ascii="宋体" w:hAnsi="宋体" w:eastAsia="宋体" w:cs="宋体"/>
          <w:sz w:val="24"/>
          <w:highlight w:val="none"/>
        </w:rPr>
        <w:t>总价金额与按单价汇总金额不一致的，以总价金额为准，合理调整单价。</w:t>
      </w:r>
    </w:p>
    <w:p w14:paraId="6C9B8CBA">
      <w:pPr>
        <w:pStyle w:val="3"/>
        <w:pageBreakBefore w:val="0"/>
        <w:widowControl w:val="0"/>
        <w:kinsoku/>
        <w:wordWrap/>
        <w:overflowPunct/>
        <w:topLinePunct w:val="0"/>
        <w:bidi w:val="0"/>
        <w:snapToGrid w:val="0"/>
        <w:spacing w:before="0" w:beforeLines="0" w:after="0" w:afterLines="0" w:line="360" w:lineRule="auto"/>
        <w:ind w:firstLine="482" w:firstLineChars="200"/>
        <w:textAlignment w:val="auto"/>
        <w:rPr>
          <w:rFonts w:hAnsi="宋体"/>
          <w:b/>
          <w:bCs/>
          <w:color w:val="auto"/>
          <w:highlight w:val="none"/>
        </w:rPr>
      </w:pPr>
      <w:r>
        <w:rPr>
          <w:rFonts w:hAnsi="宋体"/>
          <w:b/>
          <w:bCs/>
          <w:color w:val="auto"/>
          <w:highlight w:val="none"/>
        </w:rPr>
        <w:t>按上述修正错误的原则及方法调整或修正</w:t>
      </w:r>
      <w:r>
        <w:rPr>
          <w:rFonts w:hint="eastAsia" w:hAnsi="宋体"/>
          <w:b/>
          <w:bCs/>
          <w:color w:val="auto"/>
          <w:highlight w:val="none"/>
        </w:rPr>
        <w:t>商务标</w:t>
      </w:r>
      <w:r>
        <w:rPr>
          <w:rFonts w:hAnsi="宋体"/>
          <w:b/>
          <w:bCs/>
          <w:color w:val="auto"/>
          <w:highlight w:val="none"/>
        </w:rPr>
        <w:t>的投标报价，投标人同意并签字确认后，调整后的投标报价对投标人具有约束作用。如果投标人不接受修正后的报价，则其投标将作为无效投标处理。</w:t>
      </w:r>
    </w:p>
    <w:p w14:paraId="1A534960">
      <w:pPr>
        <w:pageBreakBefore w:val="0"/>
        <w:widowControl w:val="0"/>
        <w:kinsoku/>
        <w:wordWrap/>
        <w:overflowPunct/>
        <w:topLinePunct w:val="0"/>
        <w:autoSpaceDE w:val="0"/>
        <w:autoSpaceDN w:val="0"/>
        <w:bidi w:val="0"/>
        <w:adjustRightInd w:val="0"/>
        <w:spacing w:line="360" w:lineRule="auto"/>
        <w:ind w:firstLine="359" w:firstLineChars="149"/>
        <w:textAlignment w:val="auto"/>
        <w:rPr>
          <w:rFonts w:ascii="宋体"/>
          <w:b/>
          <w:color w:val="auto"/>
          <w:kern w:val="0"/>
          <w:sz w:val="24"/>
          <w:highlight w:val="none"/>
        </w:rPr>
      </w:pPr>
      <w:r>
        <w:rPr>
          <w:rFonts w:hint="eastAsia" w:ascii="宋体"/>
          <w:b/>
          <w:color w:val="auto"/>
          <w:kern w:val="0"/>
          <w:sz w:val="24"/>
          <w:highlight w:val="none"/>
        </w:rPr>
        <w:t>（六）有下列情况之一的，本次招标作为废标处理，除采购任务取消外，由</w:t>
      </w:r>
      <w:r>
        <w:rPr>
          <w:rFonts w:hint="eastAsia" w:ascii="宋体"/>
          <w:b/>
          <w:color w:val="auto"/>
          <w:kern w:val="0"/>
          <w:sz w:val="24"/>
          <w:highlight w:val="none"/>
          <w:lang w:eastAsia="zh-CN"/>
        </w:rPr>
        <w:t>招标人</w:t>
      </w:r>
      <w:r>
        <w:rPr>
          <w:rFonts w:hint="eastAsia" w:ascii="宋体"/>
          <w:b/>
          <w:color w:val="auto"/>
          <w:kern w:val="0"/>
          <w:sz w:val="24"/>
          <w:highlight w:val="none"/>
        </w:rPr>
        <w:t>重新组织招标：</w:t>
      </w:r>
    </w:p>
    <w:p w14:paraId="5998CD48">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hAnsi="宋体" w:cs="宋体"/>
          <w:kern w:val="2"/>
          <w:sz w:val="24"/>
          <w:szCs w:val="24"/>
          <w:highlight w:val="none"/>
          <w:lang w:val="en-US" w:eastAsia="zh-CN" w:bidi="ar-SA"/>
        </w:rPr>
        <w:t>.</w:t>
      </w:r>
      <w:r>
        <w:rPr>
          <w:rFonts w:hint="eastAsia" w:ascii="宋体" w:hAnsi="宋体" w:cs="Times New Roman"/>
          <w:color w:val="auto"/>
          <w:sz w:val="24"/>
          <w:highlight w:val="none"/>
        </w:rPr>
        <w:t>符合专业条件的投标人或者对招标文件作实质响应的投标人不足3家；</w:t>
      </w:r>
    </w:p>
    <w:p w14:paraId="2862917C">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hAnsi="宋体" w:cs="宋体"/>
          <w:kern w:val="2"/>
          <w:sz w:val="24"/>
          <w:szCs w:val="24"/>
          <w:highlight w:val="none"/>
          <w:lang w:val="en-US" w:eastAsia="zh-CN" w:bidi="ar-SA"/>
        </w:rPr>
        <w:t>.</w:t>
      </w:r>
      <w:r>
        <w:rPr>
          <w:rFonts w:hint="eastAsia" w:ascii="宋体" w:hAnsi="宋体" w:cs="Times New Roman"/>
          <w:color w:val="auto"/>
          <w:sz w:val="24"/>
          <w:highlight w:val="none"/>
        </w:rPr>
        <w:t>出现影响采购公正的违法、违规行为的；</w:t>
      </w:r>
    </w:p>
    <w:p w14:paraId="6F1D82C7">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3</w:t>
      </w:r>
      <w:r>
        <w:rPr>
          <w:rFonts w:hint="eastAsia" w:hAnsi="宋体" w:cs="宋体"/>
          <w:kern w:val="2"/>
          <w:sz w:val="24"/>
          <w:szCs w:val="24"/>
          <w:highlight w:val="none"/>
          <w:lang w:val="en-US" w:eastAsia="zh-CN" w:bidi="ar-SA"/>
        </w:rPr>
        <w:t>.</w:t>
      </w:r>
      <w:r>
        <w:rPr>
          <w:rFonts w:hint="eastAsia" w:ascii="宋体" w:hAnsi="宋体" w:cs="Times New Roman"/>
          <w:color w:val="auto"/>
          <w:sz w:val="24"/>
          <w:highlight w:val="none"/>
        </w:rPr>
        <w:t>投标人的报价均超过了采购最高限价，</w:t>
      </w:r>
      <w:r>
        <w:rPr>
          <w:rFonts w:hint="eastAsia" w:ascii="宋体" w:hAnsi="宋体" w:cs="Times New Roman"/>
          <w:color w:val="auto"/>
          <w:sz w:val="24"/>
          <w:highlight w:val="none"/>
          <w:lang w:val="en-US" w:eastAsia="zh-CN"/>
        </w:rPr>
        <w:t>招标人</w:t>
      </w:r>
      <w:r>
        <w:rPr>
          <w:rFonts w:hint="eastAsia" w:ascii="宋体" w:hAnsi="宋体" w:cs="Times New Roman"/>
          <w:color w:val="auto"/>
          <w:sz w:val="24"/>
          <w:highlight w:val="none"/>
        </w:rPr>
        <w:t>不能支付的；</w:t>
      </w:r>
    </w:p>
    <w:p w14:paraId="4E7A190D">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s="Times New Roman"/>
          <w:color w:val="auto"/>
          <w:sz w:val="24"/>
          <w:highlight w:val="none"/>
        </w:rPr>
        <w:t>4</w:t>
      </w:r>
      <w:r>
        <w:rPr>
          <w:rFonts w:hint="eastAsia" w:hAnsi="宋体" w:cs="宋体"/>
          <w:kern w:val="2"/>
          <w:sz w:val="24"/>
          <w:szCs w:val="24"/>
          <w:highlight w:val="none"/>
          <w:lang w:val="en-US" w:eastAsia="zh-CN" w:bidi="ar-SA"/>
        </w:rPr>
        <w:t>.</w:t>
      </w:r>
      <w:r>
        <w:rPr>
          <w:rFonts w:hint="eastAsia" w:ascii="宋体" w:hAnsi="宋体" w:cs="Times New Roman"/>
          <w:color w:val="auto"/>
          <w:sz w:val="24"/>
          <w:highlight w:val="none"/>
        </w:rPr>
        <w:t>因重大变故，采购任务取消的。</w:t>
      </w:r>
    </w:p>
    <w:p w14:paraId="74EE3C0C">
      <w:pPr>
        <w:pStyle w:val="3"/>
        <w:pageBreakBefore w:val="0"/>
        <w:widowControl w:val="0"/>
        <w:tabs>
          <w:tab w:val="left" w:pos="630"/>
        </w:tabs>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（七）评标原则和评标办法</w:t>
      </w:r>
    </w:p>
    <w:p w14:paraId="50EDD7C7">
      <w:pPr>
        <w:pStyle w:val="3"/>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int="eastAsia" w:hAnsi="宋体" w:eastAsia="宋体"/>
          <w:color w:val="auto"/>
          <w:highlight w:val="none"/>
          <w:lang w:eastAsia="zh-CN"/>
        </w:rPr>
      </w:pPr>
      <w:r>
        <w:rPr>
          <w:rFonts w:hAnsi="宋体"/>
          <w:color w:val="auto"/>
          <w:highlight w:val="none"/>
        </w:rPr>
        <w:t>1</w:t>
      </w:r>
      <w:r>
        <w:rPr>
          <w:rFonts w:hint="eastAsia" w:hAnsi="宋体" w:cs="宋体"/>
          <w:kern w:val="2"/>
          <w:sz w:val="24"/>
          <w:szCs w:val="24"/>
          <w:highlight w:val="none"/>
          <w:lang w:val="en-US" w:eastAsia="zh-CN" w:bidi="ar-SA"/>
        </w:rPr>
        <w:t>.</w:t>
      </w:r>
      <w:r>
        <w:rPr>
          <w:rFonts w:hAnsi="宋体"/>
          <w:color w:val="auto"/>
          <w:highlight w:val="none"/>
        </w:rPr>
        <w:t>评标原则。</w:t>
      </w:r>
      <w:r>
        <w:rPr>
          <w:rFonts w:hint="eastAsia" w:hAnsi="宋体"/>
          <w:color w:val="auto"/>
          <w:highlight w:val="none"/>
        </w:rPr>
        <w:t>评标委员会</w:t>
      </w:r>
      <w:r>
        <w:rPr>
          <w:rFonts w:hAnsi="宋体"/>
          <w:color w:val="auto"/>
          <w:highlight w:val="none"/>
        </w:rPr>
        <w:t>必须公平、公正、客观，不带任何倾向性和启发性；不得向外界透露任何与评标有关的内容；任何单位和个人不得干扰、影响评标的正常进行；</w:t>
      </w:r>
      <w:r>
        <w:rPr>
          <w:rFonts w:hint="eastAsia" w:hAnsi="宋体"/>
          <w:color w:val="auto"/>
          <w:highlight w:val="none"/>
        </w:rPr>
        <w:t>评标委员会</w:t>
      </w:r>
      <w:r>
        <w:rPr>
          <w:rFonts w:hAnsi="宋体"/>
          <w:color w:val="auto"/>
          <w:highlight w:val="none"/>
        </w:rPr>
        <w:t>及有关工作人员不得私下与投标人接触</w:t>
      </w:r>
      <w:r>
        <w:rPr>
          <w:rFonts w:hint="eastAsia" w:hAnsi="宋体"/>
          <w:color w:val="auto"/>
          <w:highlight w:val="none"/>
          <w:lang w:eastAsia="zh-CN"/>
        </w:rPr>
        <w:t>；</w:t>
      </w:r>
    </w:p>
    <w:p w14:paraId="79401C17">
      <w:pPr>
        <w:pStyle w:val="3"/>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w:t>
      </w:r>
      <w:r>
        <w:rPr>
          <w:rFonts w:hint="eastAsia" w:hAnsi="宋体" w:cs="宋体"/>
          <w:kern w:val="2"/>
          <w:sz w:val="24"/>
          <w:szCs w:val="24"/>
          <w:highlight w:val="none"/>
          <w:lang w:val="en-US" w:eastAsia="zh-CN" w:bidi="ar-SA"/>
        </w:rPr>
        <w:t>.</w:t>
      </w:r>
      <w:r>
        <w:rPr>
          <w:rFonts w:hAnsi="宋体"/>
          <w:color w:val="auto"/>
          <w:highlight w:val="none"/>
        </w:rPr>
        <w:t>评标办法。具体评标内容及评分标准等详见《第四章：评标办法及评分标准》。</w:t>
      </w:r>
    </w:p>
    <w:p w14:paraId="311C8BBA">
      <w:pPr>
        <w:pStyle w:val="3"/>
        <w:pageBreakBefore w:val="0"/>
        <w:widowControl w:val="0"/>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（八）评标过程的监控</w:t>
      </w:r>
    </w:p>
    <w:p w14:paraId="149EFDDC">
      <w:pPr>
        <w:pStyle w:val="3"/>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14:paraId="359596B9">
      <w:pPr>
        <w:pStyle w:val="3"/>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六、定标</w:t>
      </w:r>
    </w:p>
    <w:p w14:paraId="7765544E">
      <w:pPr>
        <w:pStyle w:val="3"/>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bCs/>
          <w:color w:val="auto"/>
          <w:szCs w:val="20"/>
          <w:highlight w:val="none"/>
        </w:rPr>
      </w:pPr>
      <w:r>
        <w:rPr>
          <w:rFonts w:hAnsi="宋体"/>
          <w:b/>
          <w:bCs/>
          <w:color w:val="auto"/>
          <w:highlight w:val="none"/>
        </w:rPr>
        <w:t>（一）</w:t>
      </w:r>
      <w:r>
        <w:rPr>
          <w:rFonts w:hint="eastAsia" w:hAnsi="宋体"/>
          <w:b/>
          <w:bCs/>
          <w:color w:val="auto"/>
          <w:highlight w:val="none"/>
        </w:rPr>
        <w:t>中标</w:t>
      </w:r>
      <w:r>
        <w:rPr>
          <w:rFonts w:hint="eastAsia" w:hAnsi="宋体"/>
          <w:b/>
          <w:bCs/>
          <w:color w:val="auto"/>
          <w:highlight w:val="none"/>
          <w:lang w:val="en-US" w:eastAsia="zh-CN"/>
        </w:rPr>
        <w:t>候选人公示</w:t>
      </w:r>
    </w:p>
    <w:p w14:paraId="6C135A89">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hAnsi="宋体" w:cs="宋体"/>
          <w:kern w:val="2"/>
          <w:sz w:val="24"/>
          <w:szCs w:val="24"/>
          <w:highlight w:val="none"/>
          <w:lang w:val="en-US" w:eastAsia="zh-CN" w:bidi="ar-SA"/>
        </w:rPr>
        <w:t>.</w:t>
      </w:r>
      <w:r>
        <w:rPr>
          <w:rFonts w:hint="eastAsia" w:ascii="宋体" w:hAnsi="宋体" w:cs="宋体"/>
          <w:color w:val="auto"/>
          <w:sz w:val="24"/>
          <w:highlight w:val="none"/>
        </w:rPr>
        <w:t>招标人应当将评标委员会推荐的中标候选人在交易场所（发布招标公告的媒体上）进行公示，公示期不得少于3日（最后一日为工作日）。</w:t>
      </w:r>
    </w:p>
    <w:p w14:paraId="01FA3ED0">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宋体" w:cs="宋体"/>
          <w:kern w:val="2"/>
          <w:sz w:val="24"/>
          <w:szCs w:val="24"/>
          <w:highlight w:val="none"/>
          <w:lang w:val="en-US" w:eastAsia="zh-CN" w:bidi="ar-SA"/>
        </w:rPr>
        <w:t>.</w:t>
      </w:r>
      <w:r>
        <w:rPr>
          <w:rFonts w:hint="eastAsia" w:ascii="宋体" w:hAnsi="宋体" w:cs="宋体"/>
          <w:color w:val="auto"/>
          <w:sz w:val="24"/>
          <w:highlight w:val="none"/>
        </w:rPr>
        <w:t>涉及中标候选人投标资格等情形的，招标人（招标代理机构）可以书面形式要求其进行澄清或说明。中标候选人应自收到书面通知之日起3日内进行澄清或说明。</w:t>
      </w:r>
    </w:p>
    <w:p w14:paraId="165D80A0">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hAnsi="宋体" w:cs="宋体"/>
          <w:kern w:val="2"/>
          <w:sz w:val="24"/>
          <w:szCs w:val="24"/>
          <w:highlight w:val="none"/>
          <w:lang w:val="en-US" w:eastAsia="zh-CN" w:bidi="ar-SA"/>
        </w:rPr>
        <w:t>.</w:t>
      </w:r>
      <w:r>
        <w:rPr>
          <w:rFonts w:hint="eastAsia" w:ascii="宋体" w:hAnsi="宋体" w:cs="宋体"/>
          <w:color w:val="auto"/>
          <w:sz w:val="24"/>
          <w:highlight w:val="none"/>
        </w:rPr>
        <w:t>中标候选人有以下情形之一的，其资格无效：</w:t>
      </w:r>
    </w:p>
    <w:p w14:paraId="1BAC9391">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（1）投标资格不符合招标公告中合格投标人的资格要求规定的；</w:t>
      </w:r>
    </w:p>
    <w:p w14:paraId="338B6AFB">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（2）投标人提供虚假材料骗取投标资格的；</w:t>
      </w:r>
    </w:p>
    <w:p w14:paraId="1B41D682">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（3）按本章投标无效情形规定应作无效标处理的；</w:t>
      </w:r>
    </w:p>
    <w:p w14:paraId="588CBE1A">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（4）拒绝按本章前款规定进行说明或不能合理说明理由的；</w:t>
      </w:r>
    </w:p>
    <w:p w14:paraId="4C25FD2D">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（5）法律法规规定作无效标处理的其它情形。</w:t>
      </w:r>
    </w:p>
    <w:p w14:paraId="0E70A49F">
      <w:pPr>
        <w:pStyle w:val="3"/>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int="eastAsia" w:ascii="宋体" w:hAnsi="宋体" w:eastAsia="宋体"/>
          <w:b/>
          <w:bCs/>
          <w:color w:val="auto"/>
          <w:highlight w:val="none"/>
        </w:rPr>
      </w:pPr>
      <w:bookmarkStart w:id="26" w:name="_Toc532282470"/>
      <w:r>
        <w:rPr>
          <w:rFonts w:hint="eastAsia" w:ascii="宋体" w:hAnsi="宋体" w:eastAsia="宋体"/>
          <w:b/>
          <w:bCs/>
          <w:color w:val="auto"/>
          <w:highlight w:val="none"/>
          <w:lang w:eastAsia="zh-CN"/>
        </w:rPr>
        <w:t>（</w:t>
      </w:r>
      <w:r>
        <w:rPr>
          <w:rFonts w:hint="eastAsia" w:ascii="宋体" w:hAnsi="宋体" w:eastAsia="宋体"/>
          <w:b/>
          <w:bCs/>
          <w:color w:val="auto"/>
          <w:highlight w:val="none"/>
          <w:lang w:val="en-US" w:eastAsia="zh-CN"/>
        </w:rPr>
        <w:t>二</w:t>
      </w:r>
      <w:r>
        <w:rPr>
          <w:rFonts w:hint="eastAsia" w:ascii="宋体" w:hAnsi="宋体" w:eastAsia="宋体"/>
          <w:b/>
          <w:bCs/>
          <w:color w:val="auto"/>
          <w:highlight w:val="none"/>
          <w:lang w:eastAsia="zh-CN"/>
        </w:rPr>
        <w:t>）</w:t>
      </w:r>
      <w:r>
        <w:rPr>
          <w:rFonts w:hint="eastAsia" w:ascii="宋体" w:hAnsi="宋体" w:eastAsia="宋体"/>
          <w:b/>
          <w:bCs/>
          <w:color w:val="auto"/>
          <w:highlight w:val="none"/>
        </w:rPr>
        <w:t>中标通知书</w:t>
      </w:r>
      <w:bookmarkEnd w:id="26"/>
    </w:p>
    <w:p w14:paraId="071A9088">
      <w:pPr>
        <w:pStyle w:val="15"/>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hAnsi="宋体" w:cs="宋体"/>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招标人应当确定中标候选人为中标人。如涉及其他投标人资格无效的，评标结果不作调整。</w:t>
      </w:r>
    </w:p>
    <w:p w14:paraId="148E1A43">
      <w:pPr>
        <w:pStyle w:val="15"/>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候选人放弃中标，或者因不可抗力提出不能履行合同或者招标文件规定或合同约定应当提交履约保证金而在规定的期限内未能提交的；或未能在规定时间内签订合同的；或在规定时间内借故否认已经承诺的条件而拒签合同的；或者或者因违反本章六定标（一）3款规定造成其资格无效的，本次招标失败，重新组织招标。</w:t>
      </w:r>
    </w:p>
    <w:p w14:paraId="0CF41DEB">
      <w:pPr>
        <w:pStyle w:val="15"/>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hAnsi="宋体" w:cs="宋体"/>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中标人确定后，招标人应当向中标人发出《中标通知书》。</w:t>
      </w:r>
    </w:p>
    <w:p w14:paraId="56DAB98D">
      <w:pPr>
        <w:pStyle w:val="15"/>
        <w:pageBreakBefore w:val="0"/>
        <w:widowControl w:val="0"/>
        <w:kinsoku/>
        <w:wordWrap/>
        <w:overflowPunct/>
        <w:topLinePunct w:val="0"/>
        <w:bidi w:val="0"/>
        <w:spacing w:line="360" w:lineRule="auto"/>
        <w:ind w:firstLine="600" w:firstLineChars="25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hAnsi="宋体" w:cs="宋体"/>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《中标通知书》对招标人和中标人具有法律约束力。《中标通知书》发出后，如中标人因违反法律法规规定而中标无效的，应承担相应的法律责任，本次招标失败，应重新组织招标。</w:t>
      </w:r>
    </w:p>
    <w:p w14:paraId="59AC22F7">
      <w:pPr>
        <w:pStyle w:val="3"/>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七、合同授予</w:t>
      </w:r>
    </w:p>
    <w:p w14:paraId="68F249A6">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hint="eastAsia" w:ascii="宋体" w:hAnsi="宋体"/>
          <w:b/>
          <w:bCs/>
          <w:color w:val="auto"/>
          <w:sz w:val="24"/>
          <w:highlight w:val="none"/>
        </w:rPr>
        <w:t>（一）签订合同</w:t>
      </w:r>
    </w:p>
    <w:p w14:paraId="05FF5CED">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1</w:t>
      </w:r>
      <w:r>
        <w:rPr>
          <w:rFonts w:hint="eastAsia" w:hAnsi="宋体" w:cs="宋体"/>
          <w:kern w:val="2"/>
          <w:sz w:val="24"/>
          <w:szCs w:val="24"/>
          <w:highlight w:val="none"/>
          <w:lang w:val="en-US" w:eastAsia="zh-CN" w:bidi="ar-SA"/>
        </w:rPr>
        <w:t>.</w:t>
      </w:r>
      <w:r>
        <w:rPr>
          <w:rFonts w:hint="eastAsia" w:ascii="宋体" w:hAnsi="宋体"/>
          <w:color w:val="auto"/>
          <w:sz w:val="24"/>
          <w:highlight w:val="none"/>
          <w:lang w:eastAsia="zh-CN"/>
        </w:rPr>
        <w:t>招标人</w:t>
      </w:r>
      <w:r>
        <w:rPr>
          <w:rFonts w:hint="eastAsia" w:ascii="宋体" w:hAnsi="宋体"/>
          <w:color w:val="auto"/>
          <w:sz w:val="24"/>
          <w:highlight w:val="none"/>
        </w:rPr>
        <w:t>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》发出之日起30日内签订采购合同。同时，采购代理机构对合同内容进行审查，如发现与采购结果和投标承诺内容不一致的，应予以纠正。</w:t>
      </w:r>
    </w:p>
    <w:p w14:paraId="5173A468">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2</w:t>
      </w:r>
      <w:r>
        <w:rPr>
          <w:rFonts w:hint="eastAsia" w:hAnsi="宋体" w:cs="宋体"/>
          <w:kern w:val="2"/>
          <w:sz w:val="24"/>
          <w:szCs w:val="24"/>
          <w:highlight w:val="none"/>
          <w:lang w:val="en-US" w:eastAsia="zh-CN" w:bidi="ar-SA"/>
        </w:rPr>
        <w:t>.</w:t>
      </w:r>
      <w:r>
        <w:rPr>
          <w:rFonts w:hint="eastAsia" w:ascii="宋体" w:hAnsi="宋体"/>
          <w:color w:val="auto"/>
          <w:sz w:val="24"/>
          <w:highlight w:val="none"/>
        </w:rPr>
        <w:t>中标人拖延、拒签合同的，将取消中标资格。</w:t>
      </w:r>
    </w:p>
    <w:p w14:paraId="4F0F00B9">
      <w:pPr>
        <w:pStyle w:val="3"/>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（二）履约保证金</w:t>
      </w:r>
    </w:p>
    <w:p w14:paraId="000333E3">
      <w:pPr>
        <w:pStyle w:val="3"/>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int="eastAsia" w:hAnsi="宋体"/>
          <w:color w:val="auto"/>
          <w:highlight w:val="none"/>
        </w:rPr>
      </w:pPr>
      <w:r>
        <w:rPr>
          <w:rFonts w:hAnsi="宋体"/>
          <w:color w:val="auto"/>
          <w:highlight w:val="none"/>
        </w:rPr>
        <w:t>1</w:t>
      </w:r>
      <w:r>
        <w:rPr>
          <w:rFonts w:hint="eastAsia" w:hAnsi="宋体" w:cs="宋体"/>
          <w:kern w:val="2"/>
          <w:sz w:val="24"/>
          <w:szCs w:val="24"/>
          <w:highlight w:val="none"/>
          <w:lang w:val="en-US" w:eastAsia="zh-CN" w:bidi="ar-SA"/>
        </w:rPr>
        <w:t>.</w:t>
      </w:r>
      <w:r>
        <w:rPr>
          <w:rFonts w:hint="eastAsia" w:hAnsi="宋体"/>
          <w:color w:val="auto"/>
          <w:highlight w:val="none"/>
        </w:rPr>
        <w:t>签订采购合同前，中标人递交履约保证金。履约保证金待所有</w:t>
      </w:r>
      <w:r>
        <w:rPr>
          <w:rFonts w:hint="eastAsia" w:hAnsi="宋体"/>
          <w:color w:val="auto"/>
          <w:highlight w:val="none"/>
          <w:lang w:val="en-US" w:eastAsia="zh-CN"/>
        </w:rPr>
        <w:t>服务</w:t>
      </w:r>
      <w:r>
        <w:rPr>
          <w:rFonts w:hint="eastAsia" w:hAnsi="宋体"/>
          <w:color w:val="auto"/>
          <w:highlight w:val="none"/>
        </w:rPr>
        <w:t>合格</w:t>
      </w:r>
      <w:r>
        <w:rPr>
          <w:rFonts w:hint="eastAsia" w:hAnsi="宋体"/>
          <w:color w:val="auto"/>
          <w:highlight w:val="none"/>
          <w:lang w:val="en-US" w:eastAsia="zh-CN"/>
        </w:rPr>
        <w:t>完成</w:t>
      </w:r>
      <w:r>
        <w:rPr>
          <w:rFonts w:hint="eastAsia" w:hAnsi="宋体"/>
          <w:color w:val="auto"/>
          <w:highlight w:val="none"/>
        </w:rPr>
        <w:t>后且无违约情况的5日内无息退还(提交方式为转账</w:t>
      </w:r>
      <w:r>
        <w:rPr>
          <w:rFonts w:hint="eastAsia" w:hAnsi="宋体"/>
          <w:color w:val="auto"/>
          <w:highlight w:val="none"/>
          <w:lang w:val="en-US" w:eastAsia="zh-CN"/>
        </w:rPr>
        <w:t>或</w:t>
      </w:r>
      <w:r>
        <w:rPr>
          <w:rFonts w:hint="eastAsia" w:hAnsi="宋体"/>
          <w:color w:val="auto"/>
          <w:highlight w:val="none"/>
        </w:rPr>
        <w:t>现金或保函形式)。</w:t>
      </w:r>
    </w:p>
    <w:p w14:paraId="634B44BA">
      <w:pPr>
        <w:pStyle w:val="3"/>
        <w:snapToGrid w:val="0"/>
        <w:spacing w:before="120" w:after="120" w:line="360" w:lineRule="auto"/>
        <w:ind w:firstLine="480" w:firstLineChars="200"/>
        <w:rPr>
          <w:rFonts w:hAnsi="宋体"/>
          <w:b/>
          <w:bCs/>
          <w:color w:val="auto"/>
          <w:szCs w:val="20"/>
          <w:highlight w:val="none"/>
        </w:rPr>
      </w:pPr>
      <w:r>
        <w:rPr>
          <w:rFonts w:hAnsi="宋体"/>
          <w:color w:val="auto"/>
          <w:highlight w:val="none"/>
        </w:rPr>
        <w:t>2</w:t>
      </w:r>
      <w:r>
        <w:rPr>
          <w:rFonts w:hint="eastAsia" w:hAnsi="宋体" w:cs="宋体"/>
          <w:kern w:val="2"/>
          <w:sz w:val="24"/>
          <w:szCs w:val="24"/>
          <w:highlight w:val="none"/>
          <w:lang w:val="en-US" w:eastAsia="zh-CN" w:bidi="ar-SA"/>
        </w:rPr>
        <w:t>.</w:t>
      </w:r>
      <w:r>
        <w:rPr>
          <w:rFonts w:hAnsi="宋体"/>
          <w:color w:val="auto"/>
          <w:highlight w:val="none"/>
        </w:rPr>
        <w:t>签订合同后，如中标人不按双方合同约定履约，则没收其全部履约保证金，履约保证金不足以赔偿损失的，按实际损失赔偿。</w:t>
      </w:r>
    </w:p>
    <w:p w14:paraId="58628552">
      <w:pPr>
        <w:pStyle w:val="3"/>
        <w:snapToGrid w:val="0"/>
        <w:spacing w:before="120" w:after="120" w:line="360" w:lineRule="auto"/>
        <w:rPr>
          <w:rFonts w:hAnsi="宋体" w:cs="宋体"/>
          <w:color w:val="auto"/>
          <w:highlight w:val="none"/>
        </w:rPr>
      </w:pPr>
      <w:r>
        <w:rPr>
          <w:rFonts w:hint="eastAsia" w:hAnsi="宋体" w:cs="宋体"/>
          <w:color w:val="auto"/>
          <w:highlight w:val="none"/>
        </w:rPr>
        <w:t xml:space="preserve"> </w:t>
      </w:r>
    </w:p>
    <w:p w14:paraId="4403337A">
      <w:pPr>
        <w:pStyle w:val="3"/>
        <w:snapToGrid w:val="0"/>
        <w:spacing w:before="120" w:after="120" w:line="240" w:lineRule="auto"/>
        <w:jc w:val="center"/>
        <w:outlineLvl w:val="0"/>
        <w:rPr>
          <w:rFonts w:hAnsi="宋体"/>
          <w:b/>
          <w:color w:val="auto"/>
          <w:sz w:val="30"/>
          <w:szCs w:val="30"/>
          <w:highlight w:val="none"/>
        </w:rPr>
      </w:pPr>
      <w:r>
        <w:rPr>
          <w:rFonts w:hint="eastAsia" w:hAnsi="宋体"/>
          <w:b/>
          <w:color w:val="auto"/>
          <w:sz w:val="30"/>
          <w:szCs w:val="30"/>
          <w:highlight w:val="none"/>
        </w:rPr>
        <w:br w:type="page"/>
      </w:r>
      <w:r>
        <w:rPr>
          <w:rFonts w:hint="eastAsia" w:hAnsi="宋体"/>
          <w:b/>
          <w:color w:val="auto"/>
          <w:sz w:val="30"/>
          <w:szCs w:val="30"/>
          <w:highlight w:val="none"/>
        </w:rPr>
        <w:t>第四章  评标办法及评分标准</w:t>
      </w:r>
    </w:p>
    <w:p w14:paraId="758BF2F7">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一、总则</w:t>
      </w:r>
    </w:p>
    <w:p w14:paraId="4F07D1A7">
      <w:pPr>
        <w:spacing w:line="400" w:lineRule="exact"/>
        <w:ind w:firstLine="480" w:firstLineChars="200"/>
        <w:rPr>
          <w:rFonts w:ascii="宋体" w:hAnsi="宋体"/>
          <w:color w:val="auto"/>
          <w:sz w:val="24"/>
          <w:highlight w:val="none"/>
        </w:rPr>
      </w:pPr>
      <w:r>
        <w:rPr>
          <w:rFonts w:hint="eastAsia" w:ascii="宋体" w:hAnsi="宋体" w:cs="宋体"/>
          <w:color w:val="auto"/>
          <w:sz w:val="24"/>
          <w:highlight w:val="none"/>
        </w:rPr>
        <w:t>评标工作应遵循公开、公平、公正、科学、择优原则，科学、严谨的态度，认真进行评标，推进</w:t>
      </w:r>
      <w:r>
        <w:rPr>
          <w:rFonts w:hint="eastAsia" w:ascii="宋体" w:hAnsi="宋体" w:eastAsia="宋体" w:cs="宋体"/>
          <w:color w:val="auto"/>
          <w:sz w:val="24"/>
          <w:highlight w:val="none"/>
        </w:rPr>
        <w:t>技术进步，确保工程质量、</w:t>
      </w:r>
      <w:r>
        <w:rPr>
          <w:rFonts w:hint="eastAsia" w:ascii="宋体" w:hAnsi="宋体" w:eastAsia="宋体" w:cs="宋体"/>
          <w:color w:val="auto"/>
          <w:sz w:val="24"/>
          <w:highlight w:val="none"/>
          <w:lang w:val="en-US" w:eastAsia="zh-CN"/>
        </w:rPr>
        <w:t>供货</w:t>
      </w:r>
      <w:r>
        <w:rPr>
          <w:rFonts w:hint="eastAsia" w:ascii="宋体" w:hAnsi="宋体" w:eastAsia="宋体" w:cs="宋体"/>
          <w:color w:val="auto"/>
          <w:sz w:val="24"/>
          <w:highlight w:val="none"/>
        </w:rPr>
        <w:t>期，节约投资，最大限度地保护当事人权益。严格按照招标文件的商务、技术要求，对投标文件进行评定，编写评标报告。对落标单位，评委会不作任何落标解释。投标</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不得以任何方式干扰招投标工作的进行，一经发现其投标文件将被拒绝。</w:t>
      </w:r>
    </w:p>
    <w:p w14:paraId="0F65AAE7">
      <w:pPr>
        <w:spacing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总分为100分，其中技术资信分</w:t>
      </w:r>
      <w:r>
        <w:rPr>
          <w:rFonts w:hint="eastAsia" w:ascii="宋体" w:hAnsi="宋体"/>
          <w:b/>
          <w:color w:val="auto"/>
          <w:sz w:val="24"/>
          <w:highlight w:val="none"/>
          <w:lang w:val="en-US" w:eastAsia="zh-CN"/>
        </w:rPr>
        <w:t>40</w:t>
      </w:r>
      <w:r>
        <w:rPr>
          <w:rFonts w:hint="eastAsia" w:ascii="宋体" w:hAnsi="宋体"/>
          <w:b/>
          <w:color w:val="auto"/>
          <w:sz w:val="24"/>
          <w:highlight w:val="none"/>
        </w:rPr>
        <w:t>分</w:t>
      </w:r>
      <w:r>
        <w:rPr>
          <w:rFonts w:hint="eastAsia" w:ascii="宋体" w:hAnsi="宋体"/>
          <w:b/>
          <w:color w:val="auto"/>
          <w:sz w:val="24"/>
          <w:highlight w:val="none"/>
          <w:lang w:eastAsia="zh-CN"/>
        </w:rPr>
        <w:t>、</w:t>
      </w:r>
      <w:r>
        <w:rPr>
          <w:rFonts w:hint="eastAsia" w:ascii="宋体" w:hAnsi="宋体"/>
          <w:b/>
          <w:color w:val="auto"/>
          <w:sz w:val="24"/>
          <w:highlight w:val="none"/>
        </w:rPr>
        <w:t>商务分</w:t>
      </w:r>
      <w:r>
        <w:rPr>
          <w:rFonts w:hint="eastAsia" w:ascii="宋体" w:hAnsi="宋体"/>
          <w:b/>
          <w:color w:val="auto"/>
          <w:sz w:val="24"/>
          <w:highlight w:val="none"/>
          <w:lang w:val="en-US" w:eastAsia="zh-CN"/>
        </w:rPr>
        <w:t>60</w:t>
      </w:r>
      <w:r>
        <w:rPr>
          <w:rFonts w:hint="eastAsia" w:ascii="宋体" w:hAnsi="宋体"/>
          <w:b/>
          <w:color w:val="auto"/>
          <w:sz w:val="24"/>
          <w:highlight w:val="none"/>
        </w:rPr>
        <w:t>分</w:t>
      </w:r>
      <w:r>
        <w:rPr>
          <w:rFonts w:hint="eastAsia" w:ascii="宋体" w:hAnsi="宋体"/>
          <w:color w:val="auto"/>
          <w:sz w:val="24"/>
          <w:highlight w:val="none"/>
        </w:rPr>
        <w:t>。</w:t>
      </w:r>
    </w:p>
    <w:p w14:paraId="3973751E">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各投标人的总得分＝技术资信标得分＋商务标得分。</w:t>
      </w:r>
    </w:p>
    <w:p w14:paraId="21FD2B7E">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14:paraId="27D7D67B">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（一）资格审查</w:t>
      </w:r>
    </w:p>
    <w:p w14:paraId="5E991ABC">
      <w:pPr>
        <w:spacing w:before="120" w:beforeLines="50" w:after="120" w:afterLines="50" w:line="400" w:lineRule="exact"/>
        <w:ind w:firstLine="480" w:firstLineChars="200"/>
        <w:rPr>
          <w:rFonts w:ascii="宋体" w:hAnsi="宋体"/>
          <w:b/>
          <w:color w:val="auto"/>
          <w:sz w:val="24"/>
          <w:highlight w:val="none"/>
        </w:rPr>
      </w:pPr>
      <w:r>
        <w:rPr>
          <w:rFonts w:hint="eastAsia"/>
          <w:color w:val="auto"/>
          <w:sz w:val="24"/>
          <w:highlight w:val="none"/>
        </w:rPr>
        <w:t>评标委员会按照招标文件载明的投标人资格条件对投标人进行审查，凡不符合资格审查中合格条件要求的，以无效标处理，不再进入后续阶段评标。</w:t>
      </w:r>
    </w:p>
    <w:p w14:paraId="2777E97F">
      <w:pPr>
        <w:spacing w:line="400" w:lineRule="exact"/>
        <w:ind w:firstLine="482" w:firstLineChars="200"/>
        <w:rPr>
          <w:rFonts w:ascii="宋体" w:hAnsi="宋体"/>
          <w:bCs/>
          <w:color w:val="auto"/>
          <w:spacing w:val="14"/>
          <w:sz w:val="24"/>
          <w:highlight w:val="none"/>
        </w:rPr>
      </w:pPr>
      <w:r>
        <w:rPr>
          <w:rFonts w:hint="eastAsia" w:ascii="宋体" w:hAnsi="宋体"/>
          <w:b/>
          <w:color w:val="auto"/>
          <w:sz w:val="24"/>
          <w:highlight w:val="none"/>
        </w:rPr>
        <w:t>（二）技术资信标评审（</w:t>
      </w:r>
      <w:r>
        <w:rPr>
          <w:rFonts w:hint="eastAsia" w:ascii="宋体" w:hAnsi="宋体"/>
          <w:b/>
          <w:color w:val="auto"/>
          <w:sz w:val="24"/>
          <w:highlight w:val="none"/>
          <w:lang w:val="en-US" w:eastAsia="zh-CN"/>
        </w:rPr>
        <w:t>40</w:t>
      </w:r>
      <w:r>
        <w:rPr>
          <w:rFonts w:hint="eastAsia" w:ascii="宋体" w:hAnsi="宋体"/>
          <w:b/>
          <w:color w:val="auto"/>
          <w:sz w:val="24"/>
          <w:highlight w:val="none"/>
        </w:rPr>
        <w:t>分）</w:t>
      </w:r>
    </w:p>
    <w:p w14:paraId="1C15B21A">
      <w:pPr>
        <w:spacing w:line="360" w:lineRule="auto"/>
        <w:ind w:firstLine="480" w:firstLineChars="200"/>
        <w:jc w:val="left"/>
        <w:rPr>
          <w:color w:val="000000"/>
          <w:sz w:val="24"/>
          <w:highlight w:val="none"/>
        </w:rPr>
      </w:pPr>
      <w:r>
        <w:rPr>
          <w:rFonts w:hint="eastAsia"/>
          <w:color w:val="000000"/>
          <w:sz w:val="24"/>
          <w:highlight w:val="none"/>
        </w:rPr>
        <w:t>（1）评审步骤</w:t>
      </w:r>
    </w:p>
    <w:p w14:paraId="5A7EC337">
      <w:pPr>
        <w:spacing w:line="360" w:lineRule="auto"/>
        <w:ind w:firstLine="480" w:firstLineChars="200"/>
        <w:jc w:val="left"/>
        <w:rPr>
          <w:color w:val="000000"/>
          <w:sz w:val="24"/>
          <w:highlight w:val="none"/>
        </w:rPr>
      </w:pPr>
      <w:r>
        <w:rPr>
          <w:rFonts w:hint="eastAsia"/>
          <w:color w:val="000000"/>
          <w:sz w:val="24"/>
          <w:highlight w:val="none"/>
        </w:rPr>
        <w:t>在所有经评审的有效投标文件（S家）中，评标委员会成员针对投标人的技术资信标进行独立评审。具体评分步骤如下：</w:t>
      </w:r>
    </w:p>
    <w:p w14:paraId="2172DD09">
      <w:pPr>
        <w:spacing w:line="360" w:lineRule="auto"/>
        <w:ind w:firstLine="480" w:firstLineChars="200"/>
        <w:jc w:val="left"/>
        <w:rPr>
          <w:color w:val="000000"/>
          <w:sz w:val="24"/>
          <w:highlight w:val="none"/>
        </w:rPr>
      </w:pPr>
      <w:r>
        <w:rPr>
          <w:rFonts w:hint="eastAsia"/>
          <w:color w:val="000000"/>
          <w:sz w:val="24"/>
          <w:highlight w:val="none"/>
        </w:rPr>
        <w:t>1</w:t>
      </w:r>
      <w:r>
        <w:rPr>
          <w:rFonts w:hint="eastAsia" w:hAnsi="宋体" w:cs="宋体"/>
          <w:kern w:val="2"/>
          <w:sz w:val="24"/>
          <w:szCs w:val="24"/>
          <w:highlight w:val="none"/>
          <w:lang w:val="en-US" w:eastAsia="zh-CN" w:bidi="ar-SA"/>
        </w:rPr>
        <w:t>.</w:t>
      </w:r>
      <w:r>
        <w:rPr>
          <w:rFonts w:hint="eastAsia"/>
          <w:color w:val="000000"/>
          <w:sz w:val="24"/>
          <w:highlight w:val="none"/>
        </w:rPr>
        <w:t>评标委员会成员视其科学性、针对性、可行性、先进性、完善程度对投标人的技术资信标给出评审意见。</w:t>
      </w:r>
    </w:p>
    <w:p w14:paraId="186FC0A2">
      <w:pPr>
        <w:spacing w:line="360" w:lineRule="auto"/>
        <w:ind w:firstLine="480" w:firstLineChars="200"/>
        <w:jc w:val="left"/>
        <w:rPr>
          <w:rFonts w:hint="eastAsia"/>
          <w:color w:val="000000"/>
          <w:sz w:val="24"/>
          <w:highlight w:val="none"/>
        </w:rPr>
      </w:pPr>
      <w:r>
        <w:rPr>
          <w:rFonts w:hint="eastAsia"/>
          <w:color w:val="000000"/>
          <w:sz w:val="24"/>
          <w:highlight w:val="none"/>
        </w:rPr>
        <w:t>2</w:t>
      </w:r>
      <w:r>
        <w:rPr>
          <w:rFonts w:hint="eastAsia" w:hAnsi="宋体" w:cs="宋体"/>
          <w:kern w:val="2"/>
          <w:sz w:val="24"/>
          <w:szCs w:val="24"/>
          <w:highlight w:val="none"/>
          <w:lang w:val="en-US" w:eastAsia="zh-CN" w:bidi="ar-SA"/>
        </w:rPr>
        <w:t>.</w:t>
      </w:r>
      <w:r>
        <w:rPr>
          <w:rFonts w:hint="eastAsia"/>
          <w:color w:val="000000"/>
          <w:sz w:val="24"/>
          <w:highlight w:val="none"/>
        </w:rPr>
        <w:t>评标委员会成员按技术资信评分标准，各自打分（小数点后保留1位），评标委员会成员对应的合计得分的平均值作为投标人技术资信标的得分（小数点后保留2位，第3位四舍五入）。</w:t>
      </w:r>
    </w:p>
    <w:p w14:paraId="20CA5DFD">
      <w:pPr>
        <w:spacing w:line="360" w:lineRule="auto"/>
        <w:ind w:firstLine="480" w:firstLineChars="200"/>
        <w:jc w:val="left"/>
        <w:rPr>
          <w:highlight w:val="none"/>
        </w:rPr>
      </w:pPr>
      <w:r>
        <w:rPr>
          <w:rFonts w:hint="eastAsia"/>
          <w:color w:val="000000"/>
          <w:sz w:val="24"/>
          <w:highlight w:val="none"/>
        </w:rPr>
        <w:t>3</w:t>
      </w:r>
      <w:r>
        <w:rPr>
          <w:rFonts w:hint="eastAsia" w:hAnsi="宋体" w:cs="宋体"/>
          <w:kern w:val="2"/>
          <w:sz w:val="24"/>
          <w:szCs w:val="24"/>
          <w:highlight w:val="none"/>
          <w:lang w:val="en-US" w:eastAsia="zh-CN" w:bidi="ar-SA"/>
        </w:rPr>
        <w:t>.</w:t>
      </w:r>
      <w:r>
        <w:rPr>
          <w:rFonts w:hint="eastAsia"/>
          <w:color w:val="000000"/>
          <w:sz w:val="24"/>
          <w:highlight w:val="none"/>
        </w:rPr>
        <w:t>评标委员会按投标人技术资信标得分从高到低进行排名。如此时3≤S≤6时，所有经评审有效投标人的技术资信标均予以通过，其</w:t>
      </w:r>
      <w:r>
        <w:rPr>
          <w:color w:val="000000"/>
          <w:sz w:val="24"/>
          <w:highlight w:val="none"/>
        </w:rPr>
        <w:t>投标文件进入下一阶段评审</w:t>
      </w:r>
      <w:r>
        <w:rPr>
          <w:rFonts w:hint="eastAsia"/>
          <w:color w:val="000000"/>
          <w:sz w:val="24"/>
          <w:highlight w:val="none"/>
        </w:rPr>
        <w:t>；如此时S＞6时，取排名</w:t>
      </w:r>
      <w:r>
        <w:rPr>
          <w:color w:val="000000"/>
          <w:sz w:val="24"/>
          <w:highlight w:val="none"/>
        </w:rPr>
        <w:t>前</w:t>
      </w:r>
      <w:r>
        <w:rPr>
          <w:rFonts w:hint="eastAsia"/>
          <w:color w:val="000000"/>
          <w:sz w:val="24"/>
          <w:highlight w:val="none"/>
        </w:rPr>
        <w:t>六的</w:t>
      </w:r>
      <w:r>
        <w:rPr>
          <w:color w:val="000000"/>
          <w:sz w:val="24"/>
          <w:highlight w:val="none"/>
        </w:rPr>
        <w:t>投标人</w:t>
      </w:r>
      <w:r>
        <w:rPr>
          <w:rFonts w:hint="eastAsia"/>
          <w:color w:val="000000"/>
          <w:sz w:val="24"/>
          <w:highlight w:val="none"/>
        </w:rPr>
        <w:t>进入下一阶段评审（前六排名不并列，若排名前六的有效投标人中有得分相同的，由</w:t>
      </w:r>
      <w:r>
        <w:rPr>
          <w:rFonts w:hint="eastAsia"/>
          <w:color w:val="000000"/>
          <w:sz w:val="24"/>
          <w:highlight w:val="none"/>
          <w:lang w:eastAsia="zh-CN"/>
        </w:rPr>
        <w:t>招标人</w:t>
      </w:r>
      <w:r>
        <w:rPr>
          <w:rFonts w:hint="eastAsia"/>
          <w:color w:val="000000"/>
          <w:sz w:val="24"/>
          <w:highlight w:val="none"/>
        </w:rPr>
        <w:t>代表抽签确定排名。第七名开始若有投标人得分与第六名并列时，则一并进入下一阶段评审），剩余投标人予以淘汰，其投标文件不再进入下一阶段评审，投标文件作无效标处理。</w:t>
      </w:r>
    </w:p>
    <w:tbl>
      <w:tblPr>
        <w:tblStyle w:val="4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
        <w:gridCol w:w="1102"/>
        <w:gridCol w:w="538"/>
        <w:gridCol w:w="8017"/>
      </w:tblGrid>
      <w:tr w14:paraId="78F8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14:paraId="6B9DF350">
            <w:pPr>
              <w:jc w:val="center"/>
              <w:rPr>
                <w:rFonts w:hint="eastAsia" w:ascii="宋体" w:hAnsi="宋体" w:eastAsia="宋体" w:cs="宋体"/>
                <w:color w:val="auto"/>
                <w:sz w:val="24"/>
                <w:szCs w:val="24"/>
                <w:highlight w:val="none"/>
              </w:rPr>
            </w:pPr>
            <w:r>
              <w:rPr>
                <w:rFonts w:hint="eastAsia" w:ascii="宋体" w:hAnsi="宋体" w:cs="宋体"/>
                <w:bCs/>
                <w:color w:val="auto"/>
                <w:sz w:val="24"/>
                <w:highlight w:val="none"/>
              </w:rPr>
              <w:t>技术资信部分评审</w:t>
            </w:r>
          </w:p>
        </w:tc>
      </w:tr>
      <w:tr w14:paraId="0359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7418B31">
            <w:pPr>
              <w:spacing w:line="360" w:lineRule="auto"/>
              <w:ind w:left="-140" w:leftChars="-50" w:right="-140" w:rightChars="-50"/>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60047F">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评 分 内 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2167A27">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分值</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A8E826">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评  分  标  准</w:t>
            </w:r>
          </w:p>
        </w:tc>
      </w:tr>
      <w:tr w14:paraId="6DD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7CEE5E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DA7AC8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业绩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68750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8C8BC4C">
            <w:pPr>
              <w:jc w:val="left"/>
              <w:rPr>
                <w:rFonts w:hint="eastAsia" w:ascii="宋体" w:hAnsi="宋体" w:eastAsia="宋体" w:cs="宋体"/>
                <w:color w:val="auto"/>
                <w:kern w:val="2"/>
                <w:sz w:val="24"/>
                <w:szCs w:val="24"/>
                <w:highlight w:val="none"/>
                <w:lang w:val="en-US" w:eastAsia="zh-CN" w:bidi="ar-SA"/>
              </w:rPr>
            </w:pPr>
            <w:bookmarkStart w:id="27" w:name="OLE_LINK24"/>
            <w:r>
              <w:rPr>
                <w:rFonts w:hint="eastAsia" w:ascii="宋体" w:hAnsi="宋体" w:eastAsia="宋体" w:cs="宋体"/>
                <w:color w:val="auto"/>
                <w:kern w:val="2"/>
                <w:sz w:val="24"/>
                <w:szCs w:val="24"/>
                <w:highlight w:val="none"/>
                <w:lang w:val="en-US" w:eastAsia="zh-CN" w:bidi="ar-SA"/>
              </w:rPr>
              <w:t>投标人自2020年1月1日（以合同签订时间为准）以来承接过单个合同金额不少于</w:t>
            </w:r>
            <w:r>
              <w:rPr>
                <w:rFonts w:hint="eastAsia" w:ascii="宋体" w:hAnsi="宋体" w:cs="宋体"/>
                <w:color w:val="auto"/>
                <w:kern w:val="2"/>
                <w:sz w:val="24"/>
                <w:szCs w:val="24"/>
                <w:highlight w:val="none"/>
                <w:lang w:val="en-US" w:eastAsia="zh-CN" w:bidi="ar-SA"/>
              </w:rPr>
              <w:t>40</w:t>
            </w:r>
            <w:r>
              <w:rPr>
                <w:rFonts w:hint="eastAsia" w:ascii="宋体" w:hAnsi="宋体" w:eastAsia="宋体" w:cs="宋体"/>
                <w:color w:val="auto"/>
                <w:kern w:val="2"/>
                <w:sz w:val="24"/>
                <w:szCs w:val="24"/>
                <w:highlight w:val="none"/>
                <w:lang w:val="en-US" w:eastAsia="zh-CN" w:bidi="ar-SA"/>
              </w:rPr>
              <w:t>万元的类似本项目采购内容的水电气接驳服务项目业绩，每提供一个得2分，最高得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p w14:paraId="77585FD5">
            <w:pPr>
              <w:jc w:val="left"/>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bookmarkStart w:id="28" w:name="OLE_LINK25"/>
            <w:r>
              <w:rPr>
                <w:rFonts w:hint="eastAsia" w:ascii="宋体" w:hAnsi="宋体" w:eastAsia="宋体" w:cs="宋体"/>
                <w:color w:val="auto"/>
                <w:kern w:val="2"/>
                <w:sz w:val="24"/>
                <w:szCs w:val="24"/>
                <w:highlight w:val="none"/>
                <w:lang w:val="en-US" w:eastAsia="zh-CN" w:bidi="ar-SA"/>
              </w:rPr>
              <w:t>1.</w:t>
            </w:r>
            <w:bookmarkEnd w:id="28"/>
            <w:r>
              <w:rPr>
                <w:rFonts w:hint="eastAsia" w:ascii="宋体" w:hAnsi="宋体" w:eastAsia="宋体" w:cs="宋体"/>
                <w:color w:val="auto"/>
                <w:kern w:val="2"/>
                <w:sz w:val="24"/>
                <w:szCs w:val="24"/>
                <w:highlight w:val="none"/>
                <w:lang w:val="en-US" w:eastAsia="zh-CN" w:bidi="ar-SA"/>
              </w:rPr>
              <w:t>投标人业绩资格要求满足本内容加分要求也可得分</w:t>
            </w:r>
            <w:r>
              <w:rPr>
                <w:rFonts w:hint="eastAsia" w:ascii="宋体" w:hAnsi="宋体" w:cs="宋体"/>
                <w:color w:val="auto"/>
                <w:kern w:val="2"/>
                <w:sz w:val="24"/>
                <w:szCs w:val="24"/>
                <w:highlight w:val="none"/>
                <w:lang w:val="en-US" w:eastAsia="zh-CN" w:bidi="ar-SA"/>
              </w:rPr>
              <w:t>；</w:t>
            </w:r>
          </w:p>
          <w:p w14:paraId="36E84660">
            <w:pPr>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.须提供该项目合同复印件，</w:t>
            </w:r>
            <w:bookmarkEnd w:id="27"/>
            <w:r>
              <w:rPr>
                <w:rFonts w:hint="eastAsia" w:ascii="宋体" w:hAnsi="宋体" w:eastAsia="宋体" w:cs="宋体"/>
                <w:color w:val="auto"/>
                <w:kern w:val="2"/>
                <w:sz w:val="24"/>
                <w:szCs w:val="24"/>
                <w:highlight w:val="none"/>
                <w:lang w:val="en-US" w:eastAsia="zh-CN" w:bidi="ar-SA"/>
              </w:rPr>
              <w:t>如合同中无法体现项目类型、内容、金额和签订时间的，则还须提供原合同采购单位盖章的业绩证明材料(格式自拟，证明材料须补充相关信息）</w:t>
            </w:r>
            <w:r>
              <w:rPr>
                <w:rFonts w:hint="eastAsia" w:ascii="宋体" w:hAnsi="宋体" w:cs="宋体"/>
                <w:color w:val="auto"/>
                <w:kern w:val="2"/>
                <w:sz w:val="24"/>
                <w:szCs w:val="24"/>
                <w:highlight w:val="none"/>
                <w:lang w:val="en-US" w:eastAsia="zh-CN" w:bidi="ar-SA"/>
              </w:rPr>
              <w:t>。</w:t>
            </w:r>
          </w:p>
        </w:tc>
      </w:tr>
      <w:tr w14:paraId="7958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0C9E1B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58931D1">
            <w:pPr>
              <w:widowControl/>
              <w:jc w:val="center"/>
              <w:rPr>
                <w:rFonts w:hint="default"/>
                <w:highlight w:val="none"/>
                <w:lang w:val="en-US" w:eastAsia="zh-CN"/>
              </w:rPr>
            </w:pPr>
            <w:r>
              <w:rPr>
                <w:rFonts w:hint="eastAsia" w:ascii="宋体" w:hAnsi="宋体" w:cs="宋体"/>
                <w:color w:val="auto"/>
                <w:sz w:val="24"/>
                <w:szCs w:val="24"/>
                <w:highlight w:val="none"/>
                <w:lang w:val="en-US" w:eastAsia="zh-CN"/>
              </w:rPr>
              <w:t>企业实力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6F1CC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FE487D">
            <w:pPr>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投标人具有</w:t>
            </w:r>
            <w:r>
              <w:rPr>
                <w:rFonts w:hint="default" w:ascii="宋体" w:hAnsi="宋体" w:eastAsia="宋体" w:cs="宋体"/>
                <w:color w:val="auto"/>
                <w:sz w:val="24"/>
                <w:szCs w:val="24"/>
                <w:highlight w:val="none"/>
                <w:lang w:val="en-US" w:eastAsia="zh-CN"/>
              </w:rPr>
              <w:t>有效的环境管理体系认证证书、质量保证体系认证证书、职业健康安全管理体系认证证书</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每提供1项得1分，该项满分为3分。</w:t>
            </w:r>
          </w:p>
          <w:p w14:paraId="23D0ABDD">
            <w:pPr>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须</w:t>
            </w:r>
            <w:r>
              <w:rPr>
                <w:rFonts w:hint="default" w:ascii="宋体" w:hAnsi="宋体" w:eastAsia="宋体" w:cs="宋体"/>
                <w:color w:val="auto"/>
                <w:sz w:val="24"/>
                <w:szCs w:val="24"/>
                <w:highlight w:val="none"/>
                <w:lang w:val="en-US" w:eastAsia="zh-CN"/>
              </w:rPr>
              <w:t>提供证书复印件及“国家认证认可监督管理委员会官网www.cnca.gov.cn”查询页面截图，未提供或提供的不符合招标文件要求的，不得分。</w:t>
            </w:r>
          </w:p>
        </w:tc>
      </w:tr>
      <w:tr w14:paraId="53B4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0" w:type="auto"/>
            <w:vMerge w:val="restart"/>
            <w:tcBorders>
              <w:top w:val="single" w:color="auto" w:sz="4" w:space="0"/>
              <w:left w:val="single" w:color="auto" w:sz="4" w:space="0"/>
              <w:right w:val="single" w:color="auto" w:sz="4" w:space="0"/>
            </w:tcBorders>
            <w:noWrap w:val="0"/>
            <w:vAlign w:val="center"/>
          </w:tcPr>
          <w:p w14:paraId="265CD8F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14:paraId="21266791">
            <w:pPr>
              <w:widowControl/>
              <w:jc w:val="both"/>
              <w:rPr>
                <w:rFonts w:hint="eastAsia" w:ascii="宋体" w:hAnsi="宋体" w:eastAsia="宋体" w:cs="宋体"/>
                <w:color w:val="auto"/>
                <w:sz w:val="24"/>
                <w:szCs w:val="24"/>
                <w:highlight w:val="none"/>
                <w:lang w:val="en-US" w:eastAsia="zh-CN"/>
              </w:rPr>
            </w:pPr>
          </w:p>
          <w:p w14:paraId="5034B61C">
            <w:pPr>
              <w:widowControl/>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项目实施方案</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2323B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4679EFC">
            <w:pPr>
              <w:rPr>
                <w:rFonts w:hint="eastAsia" w:ascii="宋体" w:hAnsi="宋体" w:eastAsia="宋体" w:cs="宋体"/>
                <w:sz w:val="24"/>
                <w:highlight w:val="none"/>
              </w:rPr>
            </w:pPr>
            <w:r>
              <w:rPr>
                <w:rFonts w:hint="eastAsia" w:ascii="宋体" w:hAnsi="宋体" w:cs="宋体"/>
                <w:sz w:val="24"/>
                <w:highlight w:val="none"/>
                <w:lang w:eastAsia="zh-CN"/>
              </w:rPr>
              <w:t>根据</w:t>
            </w:r>
            <w:r>
              <w:rPr>
                <w:rFonts w:hint="eastAsia" w:ascii="宋体" w:hAnsi="宋体" w:cs="宋体"/>
                <w:sz w:val="24"/>
                <w:highlight w:val="none"/>
                <w:lang w:val="en-US" w:eastAsia="zh-CN"/>
              </w:rPr>
              <w:t>整体</w:t>
            </w:r>
            <w:r>
              <w:rPr>
                <w:rFonts w:hint="eastAsia" w:ascii="宋体" w:hAnsi="宋体" w:cs="宋体"/>
                <w:sz w:val="24"/>
                <w:highlight w:val="none"/>
                <w:lang w:eastAsia="zh-CN"/>
              </w:rPr>
              <w:t>方案内容的全面性、科学性、针对性等进行评价。</w:t>
            </w:r>
          </w:p>
          <w:p w14:paraId="686D9120">
            <w:pPr>
              <w:rPr>
                <w:rFonts w:hint="eastAsia" w:ascii="宋体" w:hAnsi="宋体" w:eastAsia="宋体" w:cs="宋体"/>
                <w:sz w:val="24"/>
                <w:highlight w:val="none"/>
              </w:rPr>
            </w:pPr>
            <w:r>
              <w:rPr>
                <w:rFonts w:hint="eastAsia" w:ascii="宋体" w:hAnsi="宋体" w:cs="宋体"/>
                <w:sz w:val="24"/>
                <w:highlight w:val="none"/>
                <w:lang w:eastAsia="zh-CN"/>
              </w:rPr>
              <w:t>整体方案有</w:t>
            </w:r>
            <w:r>
              <w:rPr>
                <w:rFonts w:hint="eastAsia" w:ascii="宋体" w:hAnsi="宋体" w:eastAsia="宋体" w:cs="宋体"/>
                <w:sz w:val="24"/>
                <w:highlight w:val="none"/>
              </w:rPr>
              <w:t>针对性，措施合理的得</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分；</w:t>
            </w:r>
          </w:p>
          <w:p w14:paraId="355CAB06">
            <w:pPr>
              <w:rPr>
                <w:rFonts w:hint="eastAsia" w:ascii="宋体" w:hAnsi="宋体" w:eastAsia="宋体" w:cs="宋体"/>
                <w:sz w:val="24"/>
                <w:highlight w:val="none"/>
              </w:rPr>
            </w:pPr>
            <w:r>
              <w:rPr>
                <w:rFonts w:hint="eastAsia" w:ascii="宋体" w:hAnsi="宋体" w:eastAsia="宋体" w:cs="宋体"/>
                <w:sz w:val="24"/>
                <w:highlight w:val="none"/>
              </w:rPr>
              <w:t>整体方案针对性</w:t>
            </w:r>
            <w:r>
              <w:rPr>
                <w:rFonts w:hint="eastAsia" w:ascii="宋体" w:hAnsi="宋体" w:cs="宋体"/>
                <w:sz w:val="24"/>
                <w:highlight w:val="none"/>
                <w:lang w:val="en-US" w:eastAsia="zh-CN"/>
              </w:rPr>
              <w:t>一般</w:t>
            </w:r>
            <w:r>
              <w:rPr>
                <w:rFonts w:hint="eastAsia" w:ascii="宋体" w:hAnsi="宋体" w:eastAsia="宋体" w:cs="宋体"/>
                <w:sz w:val="24"/>
                <w:highlight w:val="none"/>
              </w:rPr>
              <w:t>，措施基本合理的得3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2.6</w:t>
            </w:r>
            <w:r>
              <w:rPr>
                <w:rFonts w:hint="eastAsia" w:ascii="宋体" w:hAnsi="宋体" w:eastAsia="宋体" w:cs="宋体"/>
                <w:sz w:val="24"/>
                <w:highlight w:val="none"/>
              </w:rPr>
              <w:t>分；</w:t>
            </w:r>
          </w:p>
          <w:p w14:paraId="38D8461E">
            <w:pPr>
              <w:rPr>
                <w:rFonts w:hint="eastAsia" w:ascii="宋体" w:hAnsi="宋体" w:eastAsia="宋体" w:cs="宋体"/>
                <w:sz w:val="24"/>
                <w:highlight w:val="none"/>
              </w:rPr>
            </w:pPr>
            <w:r>
              <w:rPr>
                <w:rFonts w:hint="eastAsia" w:ascii="宋体" w:hAnsi="宋体" w:eastAsia="宋体" w:cs="宋体"/>
                <w:sz w:val="24"/>
                <w:highlight w:val="none"/>
              </w:rPr>
              <w:t>整体方案针对性</w:t>
            </w:r>
            <w:r>
              <w:rPr>
                <w:rFonts w:hint="eastAsia" w:ascii="宋体" w:hAnsi="宋体" w:cs="宋体"/>
                <w:sz w:val="24"/>
                <w:highlight w:val="none"/>
                <w:lang w:val="en-US" w:eastAsia="zh-CN"/>
              </w:rPr>
              <w:t>差</w:t>
            </w:r>
            <w:r>
              <w:rPr>
                <w:rFonts w:hint="eastAsia" w:ascii="宋体" w:hAnsi="宋体" w:eastAsia="宋体" w:cs="宋体"/>
                <w:sz w:val="24"/>
                <w:highlight w:val="none"/>
              </w:rPr>
              <w:t>，措施差，的得</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p w14:paraId="101861D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79E2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0" w:type="auto"/>
            <w:vMerge w:val="continue"/>
            <w:tcBorders>
              <w:left w:val="single" w:color="auto" w:sz="4" w:space="0"/>
              <w:right w:val="single" w:color="auto" w:sz="4" w:space="0"/>
            </w:tcBorders>
            <w:noWrap w:val="0"/>
            <w:vAlign w:val="center"/>
          </w:tcPr>
          <w:p w14:paraId="250FCF68">
            <w:pPr>
              <w:jc w:val="center"/>
              <w:rPr>
                <w:rFonts w:hint="eastAsia" w:ascii="宋体" w:hAnsi="宋体" w:cs="宋体"/>
                <w:color w:val="auto"/>
                <w:sz w:val="24"/>
                <w:szCs w:val="24"/>
                <w:highlight w:val="none"/>
                <w:lang w:val="en-US" w:eastAsia="zh-CN"/>
              </w:rPr>
            </w:pPr>
          </w:p>
        </w:tc>
        <w:tc>
          <w:tcPr>
            <w:tcW w:w="0" w:type="auto"/>
            <w:vMerge w:val="continue"/>
            <w:tcBorders>
              <w:left w:val="single" w:color="auto" w:sz="4" w:space="0"/>
              <w:right w:val="single" w:color="auto" w:sz="4" w:space="0"/>
            </w:tcBorders>
            <w:noWrap w:val="0"/>
            <w:vAlign w:val="center"/>
          </w:tcPr>
          <w:p w14:paraId="04ED73C3">
            <w:pPr>
              <w:widowControl/>
              <w:jc w:val="center"/>
              <w:rPr>
                <w:rFonts w:hint="default" w:ascii="宋体" w:hAnsi="宋体" w:eastAsia="宋体" w:cs="宋体"/>
                <w:color w:val="auto"/>
                <w:sz w:val="24"/>
                <w:szCs w:val="24"/>
                <w:highlight w:val="none"/>
                <w:vertAlign w:val="baseline"/>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6858A4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4A3F86">
            <w:pPr>
              <w:rPr>
                <w:rFonts w:hint="eastAsia" w:ascii="宋体" w:hAnsi="宋体" w:eastAsia="宋体" w:cs="宋体"/>
                <w:sz w:val="24"/>
                <w:highlight w:val="none"/>
                <w:lang w:eastAsia="zh-CN"/>
              </w:rPr>
            </w:pPr>
            <w:r>
              <w:rPr>
                <w:rFonts w:hint="eastAsia" w:ascii="宋体" w:hAnsi="宋体" w:eastAsia="宋体" w:cs="宋体"/>
                <w:sz w:val="24"/>
                <w:highlight w:val="none"/>
              </w:rPr>
              <w:t>根据服务方案内容的全面性、科学性、针对性等进行评价</w:t>
            </w:r>
            <w:bookmarkStart w:id="29" w:name="OLE_LINK1"/>
            <w:r>
              <w:rPr>
                <w:rFonts w:hint="eastAsia" w:ascii="宋体" w:hAnsi="宋体" w:cs="宋体"/>
                <w:sz w:val="24"/>
                <w:highlight w:val="none"/>
                <w:lang w:eastAsia="zh-CN"/>
              </w:rPr>
              <w:t>。</w:t>
            </w:r>
            <w:bookmarkEnd w:id="29"/>
          </w:p>
          <w:p w14:paraId="3CC4F34D">
            <w:pPr>
              <w:rPr>
                <w:rFonts w:hint="eastAsia" w:ascii="宋体" w:hAnsi="宋体" w:eastAsia="宋体" w:cs="宋体"/>
                <w:sz w:val="24"/>
                <w:highlight w:val="none"/>
              </w:rPr>
            </w:pPr>
            <w:r>
              <w:rPr>
                <w:rFonts w:hint="eastAsia" w:ascii="宋体" w:hAnsi="宋体" w:eastAsia="宋体" w:cs="宋体"/>
                <w:sz w:val="24"/>
                <w:highlight w:val="none"/>
              </w:rPr>
              <w:t>服务方案内容有针对性，措施合理的得</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分；</w:t>
            </w:r>
          </w:p>
          <w:p w14:paraId="065E3BB2">
            <w:pPr>
              <w:rPr>
                <w:rFonts w:hint="eastAsia" w:ascii="宋体" w:hAnsi="宋体" w:eastAsia="宋体" w:cs="宋体"/>
                <w:sz w:val="24"/>
                <w:highlight w:val="none"/>
                <w:lang w:val="en-US" w:eastAsia="zh-CN"/>
              </w:rPr>
            </w:pPr>
            <w:r>
              <w:rPr>
                <w:rFonts w:hint="eastAsia" w:ascii="宋体" w:hAnsi="宋体" w:eastAsia="宋体" w:cs="宋体"/>
                <w:sz w:val="24"/>
                <w:highlight w:val="none"/>
              </w:rPr>
              <w:t>服务方案内容针对性一般，措施基本合理的得3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2.6</w:t>
            </w:r>
            <w:r>
              <w:rPr>
                <w:rFonts w:hint="eastAsia" w:ascii="宋体" w:hAnsi="宋体" w:eastAsia="宋体" w:cs="宋体"/>
                <w:sz w:val="24"/>
                <w:highlight w:val="none"/>
              </w:rPr>
              <w:t>分；</w:t>
            </w:r>
          </w:p>
          <w:p w14:paraId="0BE54D89">
            <w:pPr>
              <w:rPr>
                <w:rFonts w:hint="eastAsia" w:ascii="宋体" w:hAnsi="宋体" w:eastAsia="宋体" w:cs="宋体"/>
                <w:sz w:val="24"/>
                <w:highlight w:val="none"/>
              </w:rPr>
            </w:pPr>
            <w:r>
              <w:rPr>
                <w:rFonts w:hint="eastAsia" w:ascii="宋体" w:hAnsi="宋体" w:eastAsia="宋体" w:cs="宋体"/>
                <w:sz w:val="24"/>
                <w:highlight w:val="none"/>
              </w:rPr>
              <w:t>服务方案内容针对性差</w:t>
            </w:r>
            <w:r>
              <w:rPr>
                <w:rFonts w:hint="eastAsia" w:ascii="宋体" w:hAnsi="宋体" w:cs="宋体"/>
                <w:sz w:val="24"/>
                <w:highlight w:val="none"/>
                <w:lang w:eastAsia="zh-CN"/>
              </w:rPr>
              <w:t>，</w:t>
            </w:r>
            <w:r>
              <w:rPr>
                <w:rFonts w:hint="eastAsia" w:ascii="宋体" w:hAnsi="宋体" w:eastAsia="宋体" w:cs="宋体"/>
                <w:sz w:val="24"/>
                <w:highlight w:val="none"/>
              </w:rPr>
              <w:t>措施差的得</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p w14:paraId="5A3A6ED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7F65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0" w:type="auto"/>
            <w:vMerge w:val="continue"/>
            <w:tcBorders>
              <w:left w:val="single" w:color="auto" w:sz="4" w:space="0"/>
              <w:right w:val="single" w:color="auto" w:sz="4" w:space="0"/>
            </w:tcBorders>
            <w:noWrap w:val="0"/>
            <w:vAlign w:val="center"/>
          </w:tcPr>
          <w:p w14:paraId="0B4FE293">
            <w:pPr>
              <w:jc w:val="center"/>
              <w:rPr>
                <w:rFonts w:hint="eastAsia" w:ascii="宋体" w:hAnsi="宋体" w:eastAsia="宋体" w:cs="宋体"/>
                <w:color w:val="auto"/>
                <w:sz w:val="24"/>
                <w:szCs w:val="24"/>
                <w:highlight w:val="none"/>
                <w:lang w:val="en-US" w:eastAsia="zh-CN"/>
              </w:rPr>
            </w:pPr>
          </w:p>
        </w:tc>
        <w:tc>
          <w:tcPr>
            <w:tcW w:w="0" w:type="auto"/>
            <w:vMerge w:val="continue"/>
            <w:tcBorders>
              <w:left w:val="single" w:color="auto" w:sz="4" w:space="0"/>
              <w:right w:val="single" w:color="auto" w:sz="4" w:space="0"/>
            </w:tcBorders>
            <w:noWrap w:val="0"/>
            <w:vAlign w:val="center"/>
          </w:tcPr>
          <w:p w14:paraId="1CFFE160">
            <w:pPr>
              <w:widowControl/>
              <w:jc w:val="center"/>
              <w:rPr>
                <w:rFonts w:hint="eastAsia" w:ascii="宋体" w:hAnsi="宋体" w:eastAsia="宋体" w:cs="宋体"/>
                <w:color w:val="auto"/>
                <w:sz w:val="24"/>
                <w:szCs w:val="24"/>
                <w:highlight w:val="none"/>
                <w:lang w:val="en-US" w:eastAsia="zh-CN"/>
              </w:rPr>
            </w:pPr>
          </w:p>
        </w:tc>
        <w:tc>
          <w:tcPr>
            <w:tcW w:w="0" w:type="auto"/>
            <w:tcBorders>
              <w:top w:val="single" w:color="auto" w:sz="4" w:space="0"/>
              <w:left w:val="single" w:color="auto" w:sz="4" w:space="0"/>
              <w:right w:val="single" w:color="auto" w:sz="4" w:space="0"/>
            </w:tcBorders>
            <w:noWrap w:val="0"/>
            <w:vAlign w:val="center"/>
          </w:tcPr>
          <w:p w14:paraId="462A2823">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9CA83E">
            <w:pPr>
              <w:rPr>
                <w:rFonts w:hint="eastAsia" w:ascii="宋体" w:hAnsi="宋体" w:eastAsia="宋体" w:cs="宋体"/>
                <w:sz w:val="24"/>
                <w:highlight w:val="none"/>
              </w:rPr>
            </w:pPr>
            <w:r>
              <w:rPr>
                <w:rFonts w:hint="eastAsia" w:ascii="宋体" w:hAnsi="宋体" w:eastAsia="宋体" w:cs="宋体"/>
                <w:sz w:val="24"/>
                <w:highlight w:val="none"/>
              </w:rPr>
              <w:t>质量保证措施：</w:t>
            </w:r>
            <w:r>
              <w:rPr>
                <w:rFonts w:hint="eastAsia" w:ascii="宋体" w:hAnsi="宋体" w:cs="宋体"/>
                <w:sz w:val="24"/>
                <w:highlight w:val="none"/>
                <w:lang w:val="en-US" w:eastAsia="zh-CN"/>
              </w:rPr>
              <w:t>投标人</w:t>
            </w:r>
            <w:r>
              <w:rPr>
                <w:rFonts w:hint="eastAsia" w:ascii="宋体" w:hAnsi="宋体" w:eastAsia="宋体" w:cs="宋体"/>
                <w:sz w:val="24"/>
                <w:highlight w:val="none"/>
              </w:rPr>
              <w:t>制定项目质量管理措施，包括明确的质量目标、确保实现质量目标的长效管理机制和具体措施。</w:t>
            </w:r>
          </w:p>
          <w:p w14:paraId="6CA7A071">
            <w:pPr>
              <w:rPr>
                <w:rFonts w:hint="eastAsia" w:ascii="宋体" w:hAnsi="宋体" w:eastAsia="宋体" w:cs="宋体"/>
                <w:sz w:val="24"/>
                <w:highlight w:val="none"/>
              </w:rPr>
            </w:pPr>
            <w:r>
              <w:rPr>
                <w:rFonts w:hint="eastAsia" w:ascii="宋体" w:hAnsi="宋体" w:eastAsia="宋体" w:cs="宋体"/>
                <w:sz w:val="24"/>
                <w:highlight w:val="none"/>
              </w:rPr>
              <w:t>目标明确，措施完善得</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分；</w:t>
            </w:r>
          </w:p>
          <w:p w14:paraId="67E5A911">
            <w:pPr>
              <w:rPr>
                <w:rFonts w:hint="eastAsia" w:ascii="宋体" w:hAnsi="宋体" w:eastAsia="宋体" w:cs="宋体"/>
                <w:sz w:val="24"/>
                <w:highlight w:val="none"/>
              </w:rPr>
            </w:pPr>
            <w:r>
              <w:rPr>
                <w:rFonts w:hint="eastAsia" w:ascii="宋体" w:hAnsi="宋体" w:eastAsia="宋体" w:cs="宋体"/>
                <w:sz w:val="24"/>
                <w:highlight w:val="none"/>
              </w:rPr>
              <w:t>目标较明确，措施完善得3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2.6</w:t>
            </w:r>
            <w:r>
              <w:rPr>
                <w:rFonts w:hint="eastAsia" w:ascii="宋体" w:hAnsi="宋体" w:eastAsia="宋体" w:cs="宋体"/>
                <w:sz w:val="24"/>
                <w:highlight w:val="none"/>
              </w:rPr>
              <w:t>分；</w:t>
            </w:r>
          </w:p>
          <w:p w14:paraId="3839D646">
            <w:pPr>
              <w:rPr>
                <w:rFonts w:hint="eastAsia" w:ascii="宋体" w:hAnsi="宋体" w:eastAsia="宋体" w:cs="宋体"/>
                <w:sz w:val="24"/>
                <w:highlight w:val="none"/>
              </w:rPr>
            </w:pPr>
            <w:r>
              <w:rPr>
                <w:rFonts w:hint="eastAsia" w:ascii="宋体" w:hAnsi="宋体" w:eastAsia="宋体" w:cs="宋体"/>
                <w:sz w:val="24"/>
                <w:highlight w:val="none"/>
              </w:rPr>
              <w:t>目标不够明确，措施不够完善得</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p w14:paraId="3F43FC8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5714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Merge w:val="continue"/>
            <w:tcBorders>
              <w:left w:val="single" w:color="auto" w:sz="4" w:space="0"/>
              <w:right w:val="single" w:color="auto" w:sz="4" w:space="0"/>
            </w:tcBorders>
            <w:noWrap w:val="0"/>
            <w:vAlign w:val="center"/>
          </w:tcPr>
          <w:p w14:paraId="44B88D97">
            <w:pPr>
              <w:jc w:val="center"/>
              <w:rPr>
                <w:rFonts w:hint="eastAsia" w:ascii="宋体" w:hAnsi="宋体" w:eastAsia="宋体" w:cs="宋体"/>
                <w:color w:val="auto"/>
                <w:sz w:val="24"/>
                <w:szCs w:val="24"/>
                <w:highlight w:val="none"/>
                <w:lang w:val="en-US" w:eastAsia="zh-CN"/>
              </w:rPr>
            </w:pPr>
          </w:p>
        </w:tc>
        <w:tc>
          <w:tcPr>
            <w:tcW w:w="0" w:type="auto"/>
            <w:vMerge w:val="continue"/>
            <w:tcBorders>
              <w:left w:val="single" w:color="auto" w:sz="4" w:space="0"/>
              <w:right w:val="single" w:color="auto" w:sz="4" w:space="0"/>
            </w:tcBorders>
            <w:noWrap w:val="0"/>
            <w:vAlign w:val="center"/>
          </w:tcPr>
          <w:p w14:paraId="5D78B18D">
            <w:pPr>
              <w:widowControl/>
              <w:jc w:val="center"/>
              <w:rPr>
                <w:rFonts w:hint="eastAsia" w:ascii="宋体" w:hAnsi="宋体" w:eastAsia="宋体" w:cs="宋体"/>
                <w:color w:val="auto"/>
                <w:sz w:val="24"/>
                <w:szCs w:val="24"/>
                <w:highlight w:val="none"/>
                <w:vertAlign w:val="baseline"/>
                <w:lang w:val="en-US" w:eastAsia="zh-CN"/>
              </w:rPr>
            </w:pPr>
          </w:p>
        </w:tc>
        <w:tc>
          <w:tcPr>
            <w:tcW w:w="0" w:type="auto"/>
            <w:tcBorders>
              <w:left w:val="single" w:color="auto" w:sz="4" w:space="0"/>
              <w:right w:val="single" w:color="auto" w:sz="4" w:space="0"/>
            </w:tcBorders>
            <w:noWrap w:val="0"/>
            <w:vAlign w:val="center"/>
          </w:tcPr>
          <w:p w14:paraId="7212FE6D">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0" w:type="auto"/>
            <w:tcBorders>
              <w:top w:val="single" w:color="auto" w:sz="4" w:space="0"/>
              <w:left w:val="single" w:color="auto" w:sz="4" w:space="0"/>
              <w:right w:val="single" w:color="auto" w:sz="4" w:space="0"/>
            </w:tcBorders>
            <w:noWrap w:val="0"/>
            <w:vAlign w:val="center"/>
          </w:tcPr>
          <w:p w14:paraId="356E5B86">
            <w:pPr>
              <w:rPr>
                <w:rFonts w:hint="eastAsia" w:ascii="宋体" w:hAnsi="宋体" w:eastAsia="宋体" w:cs="宋体"/>
                <w:sz w:val="24"/>
                <w:highlight w:val="none"/>
              </w:rPr>
            </w:pPr>
            <w:r>
              <w:rPr>
                <w:rFonts w:hint="eastAsia" w:ascii="宋体" w:hAnsi="宋体" w:eastAsia="宋体" w:cs="宋体"/>
                <w:sz w:val="24"/>
                <w:highlight w:val="none"/>
              </w:rPr>
              <w:t>根据其它各种有利于</w:t>
            </w:r>
            <w:r>
              <w:rPr>
                <w:rFonts w:hint="eastAsia" w:ascii="宋体" w:hAnsi="宋体" w:cs="宋体"/>
                <w:sz w:val="24"/>
                <w:highlight w:val="none"/>
                <w:lang w:eastAsia="zh-CN"/>
              </w:rPr>
              <w:t>招标人</w:t>
            </w:r>
            <w:r>
              <w:rPr>
                <w:rFonts w:hint="eastAsia" w:ascii="宋体" w:hAnsi="宋体" w:eastAsia="宋体" w:cs="宋体"/>
                <w:sz w:val="24"/>
                <w:highlight w:val="none"/>
              </w:rPr>
              <w:t>的措施方案、承诺及其可实施性进行评审</w:t>
            </w:r>
            <w:r>
              <w:rPr>
                <w:rFonts w:hint="eastAsia" w:ascii="宋体" w:hAnsi="宋体" w:cs="宋体"/>
                <w:sz w:val="24"/>
                <w:highlight w:val="none"/>
                <w:lang w:eastAsia="zh-CN"/>
              </w:rPr>
              <w:t>。</w:t>
            </w:r>
          </w:p>
          <w:p w14:paraId="1A0B3DB4">
            <w:pPr>
              <w:rPr>
                <w:rFonts w:hint="eastAsia" w:ascii="宋体" w:hAnsi="宋体" w:eastAsia="宋体" w:cs="宋体"/>
                <w:sz w:val="24"/>
                <w:highlight w:val="none"/>
              </w:rPr>
            </w:pPr>
            <w:r>
              <w:rPr>
                <w:rFonts w:hint="eastAsia" w:ascii="宋体" w:hAnsi="宋体" w:eastAsia="宋体" w:cs="宋体"/>
                <w:sz w:val="24"/>
                <w:highlight w:val="none"/>
              </w:rPr>
              <w:t>措施方案、承诺及其可实施性合理的得</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分；</w:t>
            </w:r>
          </w:p>
          <w:p w14:paraId="5054C5BF">
            <w:pPr>
              <w:rPr>
                <w:rFonts w:hint="eastAsia" w:ascii="宋体" w:hAnsi="宋体" w:eastAsia="宋体" w:cs="宋体"/>
                <w:sz w:val="24"/>
                <w:highlight w:val="none"/>
                <w:lang w:eastAsia="zh-CN"/>
              </w:rPr>
            </w:pPr>
            <w:r>
              <w:rPr>
                <w:rFonts w:hint="eastAsia" w:ascii="宋体" w:hAnsi="宋体" w:eastAsia="宋体" w:cs="宋体"/>
                <w:sz w:val="24"/>
                <w:highlight w:val="none"/>
              </w:rPr>
              <w:t>措施方案、承诺及其可实施性一般的得 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2.6</w:t>
            </w:r>
            <w:r>
              <w:rPr>
                <w:rFonts w:hint="eastAsia" w:ascii="宋体" w:hAnsi="宋体" w:eastAsia="宋体" w:cs="宋体"/>
                <w:sz w:val="24"/>
                <w:highlight w:val="none"/>
              </w:rPr>
              <w:t>分</w:t>
            </w:r>
            <w:r>
              <w:rPr>
                <w:rFonts w:hint="eastAsia" w:ascii="宋体" w:hAnsi="宋体" w:cs="宋体"/>
                <w:sz w:val="24"/>
                <w:highlight w:val="none"/>
                <w:lang w:eastAsia="zh-CN"/>
              </w:rPr>
              <w:t>；</w:t>
            </w:r>
          </w:p>
          <w:p w14:paraId="242ACAEC">
            <w:pPr>
              <w:rPr>
                <w:rFonts w:hint="eastAsia" w:ascii="宋体" w:hAnsi="宋体" w:eastAsia="宋体" w:cs="宋体"/>
                <w:sz w:val="24"/>
                <w:highlight w:val="none"/>
              </w:rPr>
            </w:pPr>
            <w:r>
              <w:rPr>
                <w:rFonts w:hint="eastAsia" w:ascii="宋体" w:hAnsi="宋体" w:eastAsia="宋体" w:cs="宋体"/>
                <w:sz w:val="24"/>
                <w:highlight w:val="none"/>
              </w:rPr>
              <w:t>措施方案、承诺及其可实施性较差的得</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 xml:space="preserve">分； </w:t>
            </w:r>
          </w:p>
          <w:p w14:paraId="2325F69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68FF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0" w:type="auto"/>
            <w:vMerge w:val="continue"/>
            <w:tcBorders>
              <w:left w:val="single" w:color="auto" w:sz="4" w:space="0"/>
              <w:right w:val="single" w:color="auto" w:sz="4" w:space="0"/>
            </w:tcBorders>
            <w:noWrap w:val="0"/>
            <w:vAlign w:val="center"/>
          </w:tcPr>
          <w:p w14:paraId="53A8522A">
            <w:pPr>
              <w:jc w:val="center"/>
              <w:rPr>
                <w:rFonts w:hint="eastAsia" w:ascii="宋体" w:hAnsi="宋体" w:eastAsia="宋体" w:cs="宋体"/>
                <w:color w:val="auto"/>
                <w:sz w:val="24"/>
                <w:szCs w:val="24"/>
                <w:highlight w:val="none"/>
                <w:lang w:val="en-US" w:eastAsia="zh-CN"/>
              </w:rPr>
            </w:pPr>
          </w:p>
        </w:tc>
        <w:tc>
          <w:tcPr>
            <w:tcW w:w="0" w:type="auto"/>
            <w:vMerge w:val="continue"/>
            <w:tcBorders>
              <w:left w:val="single" w:color="auto" w:sz="4" w:space="0"/>
              <w:right w:val="single" w:color="auto" w:sz="4" w:space="0"/>
            </w:tcBorders>
            <w:noWrap w:val="0"/>
            <w:vAlign w:val="center"/>
          </w:tcPr>
          <w:p w14:paraId="108D4F05">
            <w:pPr>
              <w:widowControl/>
              <w:jc w:val="center"/>
              <w:rPr>
                <w:rFonts w:hint="eastAsia" w:ascii="宋体" w:hAnsi="宋体" w:eastAsia="宋体" w:cs="宋体"/>
                <w:color w:val="auto"/>
                <w:sz w:val="24"/>
                <w:szCs w:val="24"/>
                <w:highlight w:val="none"/>
                <w:vertAlign w:val="baseline"/>
                <w:lang w:val="en-US" w:eastAsia="zh-CN"/>
              </w:rPr>
            </w:pPr>
          </w:p>
        </w:tc>
        <w:tc>
          <w:tcPr>
            <w:tcW w:w="0" w:type="auto"/>
            <w:tcBorders>
              <w:left w:val="single" w:color="auto" w:sz="4" w:space="0"/>
              <w:right w:val="single" w:color="auto" w:sz="4" w:space="0"/>
            </w:tcBorders>
            <w:noWrap w:val="0"/>
            <w:vAlign w:val="center"/>
          </w:tcPr>
          <w:p w14:paraId="6012C2A5">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275E98">
            <w:pPr>
              <w:rPr>
                <w:rFonts w:hint="eastAsia" w:ascii="宋体" w:hAnsi="宋体" w:eastAsia="宋体" w:cs="宋体"/>
                <w:sz w:val="24"/>
                <w:highlight w:val="none"/>
                <w:lang w:eastAsia="zh-CN"/>
              </w:rPr>
            </w:pPr>
            <w:r>
              <w:rPr>
                <w:rFonts w:hint="eastAsia" w:ascii="宋体" w:hAnsi="宋体" w:eastAsia="宋体" w:cs="宋体"/>
                <w:sz w:val="24"/>
                <w:highlight w:val="none"/>
              </w:rPr>
              <w:t>根据各投标人提供的应急方案及措施情况</w:t>
            </w:r>
            <w:r>
              <w:rPr>
                <w:rFonts w:hint="eastAsia" w:ascii="宋体" w:hAnsi="宋体" w:cs="宋体"/>
                <w:sz w:val="24"/>
                <w:highlight w:val="none"/>
                <w:lang w:eastAsia="zh-CN"/>
              </w:rPr>
              <w:t>。</w:t>
            </w:r>
          </w:p>
          <w:p w14:paraId="57188480">
            <w:pPr>
              <w:rPr>
                <w:rFonts w:hint="eastAsia" w:ascii="宋体" w:hAnsi="宋体" w:eastAsia="宋体" w:cs="宋体"/>
                <w:sz w:val="24"/>
                <w:highlight w:val="none"/>
              </w:rPr>
            </w:pPr>
            <w:r>
              <w:rPr>
                <w:rFonts w:hint="eastAsia" w:ascii="宋体" w:hAnsi="宋体" w:eastAsia="宋体" w:cs="宋体"/>
                <w:sz w:val="24"/>
                <w:highlight w:val="none"/>
              </w:rPr>
              <w:t>应急方案及措施描述详细，方案合理，完全符合</w:t>
            </w:r>
            <w:r>
              <w:rPr>
                <w:rFonts w:hint="eastAsia" w:ascii="宋体" w:hAnsi="宋体" w:cs="宋体"/>
                <w:sz w:val="24"/>
                <w:highlight w:val="none"/>
                <w:lang w:val="en-US" w:eastAsia="zh-CN"/>
              </w:rPr>
              <w:t>招标</w:t>
            </w:r>
            <w:r>
              <w:rPr>
                <w:rFonts w:hint="eastAsia" w:ascii="宋体" w:hAnsi="宋体" w:eastAsia="宋体" w:cs="宋体"/>
                <w:sz w:val="24"/>
                <w:highlight w:val="none"/>
              </w:rPr>
              <w:t>需求的得</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分；</w:t>
            </w:r>
          </w:p>
          <w:p w14:paraId="0600FFE8">
            <w:pPr>
              <w:rPr>
                <w:rFonts w:hint="eastAsia" w:ascii="宋体" w:hAnsi="宋体" w:eastAsia="宋体" w:cs="宋体"/>
                <w:sz w:val="24"/>
                <w:highlight w:val="none"/>
              </w:rPr>
            </w:pPr>
            <w:r>
              <w:rPr>
                <w:rFonts w:hint="eastAsia" w:ascii="宋体" w:hAnsi="宋体" w:eastAsia="宋体" w:cs="宋体"/>
                <w:sz w:val="24"/>
                <w:highlight w:val="none"/>
              </w:rPr>
              <w:t>应急方案及措施描述较详细，基本可行的得3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2.6</w:t>
            </w:r>
            <w:r>
              <w:rPr>
                <w:rFonts w:hint="eastAsia" w:ascii="宋体" w:hAnsi="宋体" w:eastAsia="宋体" w:cs="宋体"/>
                <w:sz w:val="24"/>
                <w:highlight w:val="none"/>
              </w:rPr>
              <w:t>分；</w:t>
            </w:r>
          </w:p>
          <w:p w14:paraId="11CFC446">
            <w:pPr>
              <w:rPr>
                <w:rFonts w:hint="eastAsia" w:ascii="宋体" w:hAnsi="宋体" w:eastAsia="宋体" w:cs="宋体"/>
                <w:sz w:val="24"/>
                <w:highlight w:val="none"/>
              </w:rPr>
            </w:pPr>
            <w:r>
              <w:rPr>
                <w:rFonts w:hint="eastAsia" w:ascii="宋体" w:hAnsi="宋体" w:eastAsia="宋体" w:cs="宋体"/>
                <w:sz w:val="24"/>
                <w:highlight w:val="none"/>
              </w:rPr>
              <w:t>应急方案及措施描述简单，方案合理性一般的得</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r>
              <w:rPr>
                <w:rFonts w:hint="eastAsia" w:ascii="宋体" w:hAnsi="宋体" w:cs="宋体"/>
                <w:sz w:val="24"/>
                <w:highlight w:val="none"/>
                <w:lang w:eastAsia="zh-CN"/>
              </w:rPr>
              <w:t>；</w:t>
            </w:r>
            <w:r>
              <w:rPr>
                <w:rFonts w:hint="eastAsia" w:ascii="宋体" w:hAnsi="宋体" w:eastAsia="宋体" w:cs="宋体"/>
                <w:sz w:val="24"/>
                <w:highlight w:val="none"/>
              </w:rPr>
              <w:t xml:space="preserve"> </w:t>
            </w:r>
          </w:p>
          <w:p w14:paraId="098DD2F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7921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0" w:type="auto"/>
            <w:vMerge w:val="continue"/>
            <w:tcBorders>
              <w:left w:val="single" w:color="auto" w:sz="4" w:space="0"/>
              <w:right w:val="single" w:color="auto" w:sz="4" w:space="0"/>
            </w:tcBorders>
            <w:noWrap w:val="0"/>
            <w:vAlign w:val="center"/>
          </w:tcPr>
          <w:p w14:paraId="4FA8C2B3">
            <w:pPr>
              <w:jc w:val="center"/>
              <w:rPr>
                <w:rFonts w:hint="eastAsia" w:ascii="宋体" w:hAnsi="宋体" w:eastAsia="宋体" w:cs="宋体"/>
                <w:color w:val="auto"/>
                <w:sz w:val="24"/>
                <w:szCs w:val="24"/>
                <w:highlight w:val="none"/>
                <w:lang w:val="en-US" w:eastAsia="zh-CN"/>
              </w:rPr>
            </w:pPr>
          </w:p>
        </w:tc>
        <w:tc>
          <w:tcPr>
            <w:tcW w:w="0" w:type="auto"/>
            <w:vMerge w:val="continue"/>
            <w:tcBorders>
              <w:left w:val="single" w:color="auto" w:sz="4" w:space="0"/>
              <w:right w:val="single" w:color="auto" w:sz="4" w:space="0"/>
            </w:tcBorders>
            <w:noWrap w:val="0"/>
            <w:vAlign w:val="center"/>
          </w:tcPr>
          <w:p w14:paraId="11313C14">
            <w:pPr>
              <w:widowControl/>
              <w:jc w:val="center"/>
              <w:rPr>
                <w:rFonts w:hint="eastAsia" w:ascii="宋体" w:hAnsi="宋体" w:eastAsia="宋体" w:cs="宋体"/>
                <w:color w:val="auto"/>
                <w:sz w:val="24"/>
                <w:szCs w:val="24"/>
                <w:highlight w:val="none"/>
                <w:vertAlign w:val="baseline"/>
                <w:lang w:val="en-US" w:eastAsia="zh-CN"/>
              </w:rPr>
            </w:pPr>
          </w:p>
        </w:tc>
        <w:tc>
          <w:tcPr>
            <w:tcW w:w="0" w:type="auto"/>
            <w:tcBorders>
              <w:left w:val="single" w:color="auto" w:sz="4" w:space="0"/>
              <w:right w:val="single" w:color="auto" w:sz="4" w:space="0"/>
            </w:tcBorders>
            <w:noWrap w:val="0"/>
            <w:vAlign w:val="center"/>
          </w:tcPr>
          <w:p w14:paraId="7D5D11D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EBEDAB">
            <w:pPr>
              <w:rPr>
                <w:rFonts w:hint="eastAsia" w:ascii="宋体" w:hAnsi="宋体" w:eastAsia="宋体" w:cs="宋体"/>
                <w:sz w:val="24"/>
                <w:highlight w:val="none"/>
              </w:rPr>
            </w:pPr>
            <w:r>
              <w:rPr>
                <w:rFonts w:hint="eastAsia" w:ascii="宋体" w:hAnsi="宋体" w:eastAsia="宋体" w:cs="宋体"/>
                <w:sz w:val="24"/>
                <w:highlight w:val="none"/>
              </w:rPr>
              <w:t>活动后续服务方案、拆除复原、服务承诺方案进行评审</w:t>
            </w:r>
            <w:r>
              <w:rPr>
                <w:rFonts w:hint="eastAsia" w:ascii="宋体" w:hAnsi="宋体" w:cs="宋体"/>
                <w:sz w:val="24"/>
                <w:highlight w:val="none"/>
                <w:lang w:eastAsia="zh-CN"/>
              </w:rPr>
              <w:t>。</w:t>
            </w:r>
          </w:p>
          <w:p w14:paraId="484AA2F6">
            <w:pPr>
              <w:rPr>
                <w:rFonts w:hint="eastAsia" w:ascii="宋体" w:hAnsi="宋体" w:eastAsia="宋体" w:cs="宋体"/>
                <w:sz w:val="24"/>
                <w:highlight w:val="none"/>
              </w:rPr>
            </w:pPr>
            <w:r>
              <w:rPr>
                <w:rFonts w:hint="eastAsia" w:ascii="宋体" w:hAnsi="宋体" w:eastAsia="宋体" w:cs="宋体"/>
                <w:sz w:val="24"/>
                <w:highlight w:val="none"/>
              </w:rPr>
              <w:t>措施方案、承诺及其可实施性合理的得</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 xml:space="preserve">分； </w:t>
            </w:r>
          </w:p>
          <w:p w14:paraId="6ADC6219">
            <w:pPr>
              <w:rPr>
                <w:rFonts w:hint="eastAsia" w:ascii="宋体" w:hAnsi="宋体" w:eastAsia="宋体" w:cs="宋体"/>
                <w:sz w:val="24"/>
                <w:highlight w:val="none"/>
              </w:rPr>
            </w:pPr>
            <w:r>
              <w:rPr>
                <w:rFonts w:hint="eastAsia" w:ascii="宋体" w:hAnsi="宋体" w:eastAsia="宋体" w:cs="宋体"/>
                <w:sz w:val="24"/>
                <w:highlight w:val="none"/>
              </w:rPr>
              <w:t>措施方案、承诺及其可实施性一般的得3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2.6</w:t>
            </w:r>
            <w:r>
              <w:rPr>
                <w:rFonts w:hint="eastAsia" w:ascii="宋体" w:hAnsi="宋体" w:eastAsia="宋体" w:cs="宋体"/>
                <w:sz w:val="24"/>
                <w:highlight w:val="none"/>
              </w:rPr>
              <w:t>分</w:t>
            </w:r>
            <w:r>
              <w:rPr>
                <w:rFonts w:hint="eastAsia" w:ascii="宋体" w:hAnsi="宋体" w:cs="宋体"/>
                <w:sz w:val="24"/>
                <w:highlight w:val="none"/>
                <w:lang w:eastAsia="zh-CN"/>
              </w:rPr>
              <w:t>；</w:t>
            </w:r>
            <w:r>
              <w:rPr>
                <w:rFonts w:hint="eastAsia" w:ascii="宋体" w:hAnsi="宋体" w:eastAsia="宋体" w:cs="宋体"/>
                <w:sz w:val="24"/>
                <w:highlight w:val="none"/>
              </w:rPr>
              <w:t xml:space="preserve"> </w:t>
            </w:r>
          </w:p>
          <w:p w14:paraId="35BB5AA8">
            <w:pPr>
              <w:rPr>
                <w:rFonts w:hint="eastAsia" w:ascii="宋体" w:hAnsi="宋体" w:eastAsia="宋体" w:cs="宋体"/>
                <w:sz w:val="24"/>
                <w:highlight w:val="none"/>
              </w:rPr>
            </w:pPr>
            <w:r>
              <w:rPr>
                <w:rFonts w:hint="eastAsia" w:ascii="宋体" w:hAnsi="宋体" w:eastAsia="宋体" w:cs="宋体"/>
                <w:sz w:val="24"/>
                <w:highlight w:val="none"/>
              </w:rPr>
              <w:t>措施方案、承诺及其可实施性较差的得</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 xml:space="preserve">分； </w:t>
            </w:r>
          </w:p>
          <w:p w14:paraId="197DAAF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3746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0" w:type="auto"/>
            <w:vMerge w:val="restart"/>
            <w:tcBorders>
              <w:left w:val="single" w:color="auto" w:sz="4" w:space="0"/>
              <w:right w:val="single" w:color="auto" w:sz="4" w:space="0"/>
            </w:tcBorders>
            <w:noWrap w:val="0"/>
            <w:vAlign w:val="center"/>
          </w:tcPr>
          <w:p w14:paraId="0DC27DCE">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0" w:type="auto"/>
            <w:vMerge w:val="restart"/>
            <w:tcBorders>
              <w:left w:val="single" w:color="auto" w:sz="4" w:space="0"/>
              <w:right w:val="single" w:color="auto" w:sz="4" w:space="0"/>
            </w:tcBorders>
            <w:noWrap w:val="0"/>
            <w:vAlign w:val="center"/>
          </w:tcPr>
          <w:p w14:paraId="64279603">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vertAlign w:val="baseline"/>
                <w:lang w:val="en-US" w:eastAsia="zh-CN"/>
              </w:rPr>
              <w:t>拟派项目组成员情况</w:t>
            </w:r>
          </w:p>
        </w:tc>
        <w:tc>
          <w:tcPr>
            <w:tcW w:w="0" w:type="auto"/>
            <w:tcBorders>
              <w:left w:val="single" w:color="auto" w:sz="4" w:space="0"/>
              <w:right w:val="single" w:color="auto" w:sz="4" w:space="0"/>
            </w:tcBorders>
            <w:noWrap w:val="0"/>
            <w:vAlign w:val="center"/>
          </w:tcPr>
          <w:p w14:paraId="6A347D94">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E73F94">
            <w:pPr>
              <w:rPr>
                <w:rFonts w:hint="eastAsia" w:ascii="宋体" w:hAnsi="宋体" w:eastAsia="宋体" w:cs="宋体"/>
                <w:sz w:val="24"/>
                <w:highlight w:val="none"/>
                <w:lang w:val="en-US"/>
              </w:rPr>
            </w:pPr>
            <w:r>
              <w:rPr>
                <w:rFonts w:hint="eastAsia" w:ascii="宋体" w:hAnsi="宋体" w:eastAsia="宋体" w:cs="宋体"/>
                <w:sz w:val="24"/>
                <w:highlight w:val="none"/>
                <w:lang w:val="en-US"/>
              </w:rPr>
              <w:t>项目管理团队负责人具备展览展示行业从业经验。在此基础上根据投标人组建管理团队负责人的职称、资历、经验等内容进行综合评定</w:t>
            </w:r>
            <w:r>
              <w:rPr>
                <w:rFonts w:hint="eastAsia" w:ascii="宋体" w:hAnsi="宋体" w:cs="宋体"/>
                <w:sz w:val="24"/>
                <w:highlight w:val="none"/>
                <w:lang w:eastAsia="zh-CN"/>
              </w:rPr>
              <w:t>。</w:t>
            </w:r>
            <w:r>
              <w:rPr>
                <w:rFonts w:hint="eastAsia" w:ascii="宋体" w:hAnsi="宋体" w:eastAsia="宋体" w:cs="宋体"/>
                <w:sz w:val="24"/>
                <w:highlight w:val="none"/>
                <w:lang w:val="en-US"/>
              </w:rPr>
              <w:t xml:space="preserve"> </w:t>
            </w:r>
          </w:p>
          <w:p w14:paraId="413FCE0F">
            <w:pPr>
              <w:rPr>
                <w:rFonts w:hint="eastAsia" w:ascii="宋体" w:hAnsi="宋体" w:eastAsia="宋体" w:cs="宋体"/>
                <w:sz w:val="24"/>
                <w:highlight w:val="none"/>
                <w:lang w:val="en-US"/>
              </w:rPr>
            </w:pPr>
            <w:r>
              <w:rPr>
                <w:rFonts w:hint="eastAsia" w:ascii="宋体" w:hAnsi="宋体" w:eastAsia="宋体" w:cs="宋体"/>
                <w:sz w:val="24"/>
                <w:highlight w:val="none"/>
                <w:lang w:val="en-US"/>
              </w:rPr>
              <w:t>项目负责人职称、资历、项目经验丰富的，得4.0-3.1分；</w:t>
            </w:r>
          </w:p>
          <w:p w14:paraId="6AFAFC2F">
            <w:pPr>
              <w:rPr>
                <w:rFonts w:hint="eastAsia" w:ascii="宋体" w:hAnsi="宋体" w:eastAsia="宋体" w:cs="宋体"/>
                <w:sz w:val="24"/>
                <w:highlight w:val="none"/>
                <w:lang w:val="en-US"/>
              </w:rPr>
            </w:pPr>
            <w:r>
              <w:rPr>
                <w:rFonts w:hint="eastAsia" w:ascii="宋体" w:hAnsi="宋体" w:eastAsia="宋体" w:cs="宋体"/>
                <w:sz w:val="24"/>
                <w:highlight w:val="none"/>
                <w:lang w:val="en-US"/>
              </w:rPr>
              <w:t>项目负责人职称、资历、项目经验一般的，得3.0-2.6分；</w:t>
            </w:r>
          </w:p>
          <w:p w14:paraId="24ADE861">
            <w:pPr>
              <w:rPr>
                <w:rFonts w:hint="eastAsia" w:ascii="宋体" w:hAnsi="宋体" w:eastAsia="宋体" w:cs="宋体"/>
                <w:sz w:val="24"/>
                <w:highlight w:val="none"/>
                <w:lang w:val="en-US"/>
              </w:rPr>
            </w:pPr>
            <w:r>
              <w:rPr>
                <w:rFonts w:hint="eastAsia" w:ascii="宋体" w:hAnsi="宋体" w:eastAsia="宋体" w:cs="宋体"/>
                <w:sz w:val="24"/>
                <w:highlight w:val="none"/>
                <w:lang w:val="en-US"/>
              </w:rPr>
              <w:t>项目负责人职称、资历、项目经验</w:t>
            </w:r>
            <w:r>
              <w:rPr>
                <w:rFonts w:hint="eastAsia" w:ascii="宋体" w:hAnsi="宋体" w:cs="宋体"/>
                <w:sz w:val="24"/>
                <w:highlight w:val="none"/>
                <w:lang w:val="en-US" w:eastAsia="zh-CN"/>
              </w:rPr>
              <w:t>欠缺</w:t>
            </w:r>
            <w:r>
              <w:rPr>
                <w:rFonts w:hint="eastAsia" w:ascii="宋体" w:hAnsi="宋体" w:eastAsia="宋体" w:cs="宋体"/>
                <w:sz w:val="24"/>
                <w:highlight w:val="none"/>
                <w:lang w:val="en-US"/>
              </w:rPr>
              <w:t>的，得2.5-2.0分；</w:t>
            </w:r>
          </w:p>
          <w:p w14:paraId="598C5082">
            <w:pPr>
              <w:rPr>
                <w:rFonts w:hint="eastAsia" w:ascii="宋体" w:hAnsi="宋体" w:eastAsia="宋体" w:cs="宋体"/>
                <w:sz w:val="24"/>
                <w:highlight w:val="none"/>
                <w:lang w:val="en-US"/>
              </w:rPr>
            </w:pPr>
            <w:r>
              <w:rPr>
                <w:rFonts w:hint="eastAsia" w:ascii="宋体" w:hAnsi="宋体" w:eastAsia="宋体" w:cs="宋体"/>
                <w:sz w:val="24"/>
                <w:highlight w:val="none"/>
                <w:lang w:val="en-US"/>
              </w:rPr>
              <w:t>未提供不得分。</w:t>
            </w:r>
          </w:p>
          <w:p w14:paraId="7D9B2824">
            <w:pPr>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lang w:val="en-US"/>
              </w:rPr>
              <w:t>注：以上人员均须提供相关证书复印件、相关经验证明材料及投标截止时间前近三个月中任意一个月在本单位缴纳的社保证明，未提供的不得分。</w:t>
            </w:r>
          </w:p>
        </w:tc>
      </w:tr>
      <w:tr w14:paraId="0DE3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0" w:type="auto"/>
            <w:vMerge w:val="continue"/>
            <w:tcBorders>
              <w:left w:val="single" w:color="auto" w:sz="4" w:space="0"/>
              <w:right w:val="single" w:color="auto" w:sz="4" w:space="0"/>
            </w:tcBorders>
            <w:noWrap w:val="0"/>
            <w:vAlign w:val="center"/>
          </w:tcPr>
          <w:p w14:paraId="5EC60340">
            <w:pPr>
              <w:jc w:val="center"/>
              <w:rPr>
                <w:highlight w:val="none"/>
              </w:rPr>
            </w:pPr>
          </w:p>
        </w:tc>
        <w:tc>
          <w:tcPr>
            <w:tcW w:w="0" w:type="auto"/>
            <w:vMerge w:val="continue"/>
            <w:tcBorders>
              <w:left w:val="single" w:color="auto" w:sz="4" w:space="0"/>
              <w:right w:val="single" w:color="auto" w:sz="4" w:space="0"/>
            </w:tcBorders>
            <w:noWrap w:val="0"/>
            <w:vAlign w:val="center"/>
          </w:tcPr>
          <w:p w14:paraId="2171C95E">
            <w:pPr>
              <w:jc w:val="center"/>
              <w:rPr>
                <w:highlight w:val="none"/>
              </w:rPr>
            </w:pPr>
          </w:p>
        </w:tc>
        <w:tc>
          <w:tcPr>
            <w:tcW w:w="0" w:type="auto"/>
            <w:tcBorders>
              <w:left w:val="single" w:color="auto" w:sz="4" w:space="0"/>
              <w:right w:val="single" w:color="auto" w:sz="4" w:space="0"/>
            </w:tcBorders>
            <w:noWrap w:val="0"/>
            <w:vAlign w:val="center"/>
          </w:tcPr>
          <w:p w14:paraId="4AC87B31">
            <w:pPr>
              <w:jc w:val="center"/>
              <w:rPr>
                <w:rFonts w:hint="eastAsia" w:eastAsia="宋体"/>
                <w:highlight w:val="none"/>
                <w:lang w:val="en-US" w:eastAsia="zh-CN"/>
              </w:rPr>
            </w:pPr>
            <w:r>
              <w:rPr>
                <w:rFonts w:hint="eastAsia" w:ascii="宋体" w:hAnsi="宋体" w:cs="宋体"/>
                <w:color w:val="auto"/>
                <w:sz w:val="24"/>
                <w:szCs w:val="24"/>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F8D7977">
            <w:pPr>
              <w:rPr>
                <w:rFonts w:hint="eastAsia" w:ascii="宋体" w:hAnsi="宋体" w:eastAsia="宋体" w:cs="宋体"/>
                <w:sz w:val="24"/>
                <w:highlight w:val="none"/>
                <w:lang w:val="en-US"/>
              </w:rPr>
            </w:pPr>
            <w:r>
              <w:rPr>
                <w:rFonts w:hint="eastAsia" w:ascii="宋体" w:hAnsi="宋体" w:eastAsia="宋体" w:cs="宋体"/>
                <w:sz w:val="24"/>
                <w:highlight w:val="none"/>
                <w:lang w:val="en-US"/>
              </w:rPr>
              <w:t>项目管理团队，团队人员具备展览展示行业从业经验。投标人组建管理团队人员的</w:t>
            </w:r>
            <w:r>
              <w:rPr>
                <w:rFonts w:hint="eastAsia" w:ascii="宋体" w:hAnsi="宋体" w:cs="宋体"/>
                <w:sz w:val="24"/>
                <w:highlight w:val="none"/>
                <w:lang w:val="en-US" w:eastAsia="zh-CN"/>
              </w:rPr>
              <w:t>数量、</w:t>
            </w:r>
            <w:r>
              <w:rPr>
                <w:rFonts w:hint="eastAsia" w:ascii="宋体" w:hAnsi="宋体" w:eastAsia="宋体" w:cs="宋体"/>
                <w:sz w:val="24"/>
                <w:highlight w:val="none"/>
                <w:lang w:val="en-US"/>
              </w:rPr>
              <w:t>职</w:t>
            </w:r>
            <w:r>
              <w:rPr>
                <w:rFonts w:hint="eastAsia" w:ascii="宋体" w:hAnsi="宋体" w:cs="宋体"/>
                <w:sz w:val="24"/>
                <w:highlight w:val="none"/>
                <w:lang w:val="en-US" w:eastAsia="zh-CN"/>
              </w:rPr>
              <w:t>称</w:t>
            </w:r>
            <w:r>
              <w:rPr>
                <w:rFonts w:hint="eastAsia" w:ascii="宋体" w:hAnsi="宋体" w:eastAsia="宋体" w:cs="宋体"/>
                <w:sz w:val="24"/>
                <w:highlight w:val="none"/>
                <w:lang w:val="en-US"/>
              </w:rPr>
              <w:t>、资历、经验等内容进行评审，最高得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分。</w:t>
            </w:r>
          </w:p>
          <w:p w14:paraId="3DA4B16F">
            <w:pPr>
              <w:rPr>
                <w:rFonts w:hint="eastAsia" w:ascii="宋体" w:hAnsi="宋体" w:eastAsia="宋体" w:cs="宋体"/>
                <w:sz w:val="24"/>
                <w:highlight w:val="none"/>
                <w:lang w:val="en-US"/>
              </w:rPr>
            </w:pPr>
            <w:r>
              <w:rPr>
                <w:rFonts w:hint="eastAsia" w:ascii="宋体" w:hAnsi="宋体" w:eastAsia="宋体" w:cs="宋体"/>
                <w:sz w:val="24"/>
                <w:highlight w:val="none"/>
                <w:lang w:val="en-US"/>
              </w:rPr>
              <w:t>团队人员</w:t>
            </w:r>
            <w:r>
              <w:rPr>
                <w:rFonts w:hint="eastAsia" w:ascii="宋体" w:hAnsi="宋体" w:cs="宋体"/>
                <w:sz w:val="24"/>
                <w:highlight w:val="none"/>
                <w:lang w:val="en-US" w:eastAsia="zh-CN"/>
              </w:rPr>
              <w:t>数量、职称、资历</w:t>
            </w:r>
            <w:r>
              <w:rPr>
                <w:rFonts w:hint="eastAsia" w:ascii="宋体" w:hAnsi="宋体" w:eastAsia="宋体" w:cs="宋体"/>
                <w:sz w:val="24"/>
                <w:highlight w:val="none"/>
                <w:lang w:val="en-US"/>
              </w:rPr>
              <w:t>、项目经验丰富的，得3.0-2.6分；</w:t>
            </w:r>
          </w:p>
          <w:p w14:paraId="626E96FB">
            <w:pPr>
              <w:rPr>
                <w:rFonts w:hint="eastAsia" w:ascii="宋体" w:hAnsi="宋体" w:eastAsia="宋体" w:cs="宋体"/>
                <w:sz w:val="24"/>
                <w:highlight w:val="none"/>
                <w:lang w:val="en-US"/>
              </w:rPr>
            </w:pPr>
            <w:r>
              <w:rPr>
                <w:rFonts w:hint="eastAsia" w:ascii="宋体" w:hAnsi="宋体" w:eastAsia="宋体" w:cs="宋体"/>
                <w:sz w:val="24"/>
                <w:highlight w:val="none"/>
                <w:lang w:val="en-US"/>
              </w:rPr>
              <w:t>团队人员</w:t>
            </w:r>
            <w:r>
              <w:rPr>
                <w:rFonts w:hint="eastAsia" w:ascii="宋体" w:hAnsi="宋体" w:cs="宋体"/>
                <w:sz w:val="24"/>
                <w:highlight w:val="none"/>
                <w:lang w:val="en-US" w:eastAsia="zh-CN"/>
              </w:rPr>
              <w:t>数量、职称、资历、</w:t>
            </w:r>
            <w:r>
              <w:rPr>
                <w:rFonts w:hint="eastAsia" w:ascii="宋体" w:hAnsi="宋体" w:eastAsia="宋体" w:cs="宋体"/>
                <w:sz w:val="24"/>
                <w:highlight w:val="none"/>
                <w:lang w:val="en-US"/>
              </w:rPr>
              <w:t>项目经验一般的，得2.5-2.1分；</w:t>
            </w:r>
          </w:p>
          <w:p w14:paraId="1C38F964">
            <w:pPr>
              <w:rPr>
                <w:rFonts w:hint="eastAsia" w:ascii="宋体" w:hAnsi="宋体" w:eastAsia="宋体" w:cs="宋体"/>
                <w:sz w:val="24"/>
                <w:highlight w:val="none"/>
                <w:lang w:val="en-US"/>
              </w:rPr>
            </w:pPr>
            <w:r>
              <w:rPr>
                <w:rFonts w:hint="eastAsia" w:ascii="宋体" w:hAnsi="宋体" w:eastAsia="宋体" w:cs="宋体"/>
                <w:sz w:val="24"/>
                <w:highlight w:val="none"/>
                <w:lang w:val="en-US"/>
              </w:rPr>
              <w:t>团队人员</w:t>
            </w:r>
            <w:r>
              <w:rPr>
                <w:rFonts w:hint="eastAsia" w:ascii="宋体" w:hAnsi="宋体" w:cs="宋体"/>
                <w:sz w:val="24"/>
                <w:highlight w:val="none"/>
                <w:lang w:val="en-US" w:eastAsia="zh-CN"/>
              </w:rPr>
              <w:t>数量、职称、资历、</w:t>
            </w:r>
            <w:r>
              <w:rPr>
                <w:rFonts w:hint="eastAsia" w:ascii="宋体" w:hAnsi="宋体" w:eastAsia="宋体" w:cs="宋体"/>
                <w:sz w:val="24"/>
                <w:highlight w:val="none"/>
                <w:lang w:val="en-US"/>
              </w:rPr>
              <w:t>项目经验欠缺的，得2.0-1.5分；</w:t>
            </w:r>
          </w:p>
          <w:p w14:paraId="051B22AA">
            <w:pPr>
              <w:rPr>
                <w:rFonts w:hint="eastAsia" w:ascii="宋体" w:hAnsi="宋体" w:eastAsia="宋体" w:cs="宋体"/>
                <w:sz w:val="24"/>
                <w:highlight w:val="none"/>
                <w:lang w:val="en-US"/>
              </w:rPr>
            </w:pPr>
            <w:r>
              <w:rPr>
                <w:rFonts w:hint="eastAsia" w:ascii="宋体" w:hAnsi="宋体" w:eastAsia="宋体" w:cs="宋体"/>
                <w:sz w:val="24"/>
                <w:highlight w:val="none"/>
                <w:lang w:val="en-US"/>
              </w:rPr>
              <w:t>未提供不得分。</w:t>
            </w:r>
          </w:p>
          <w:p w14:paraId="4F00AD52">
            <w:pPr>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lang w:val="en-US"/>
              </w:rPr>
              <w:t>注：以上人员均须提供相关证书复印件、相关经验证明材料及投标截止时间前近三个月中任意一个月在本单位缴纳的社保证明，未提供的不得分。</w:t>
            </w:r>
          </w:p>
        </w:tc>
      </w:tr>
      <w:tr w14:paraId="444F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0" w:type="auto"/>
            <w:gridSpan w:val="2"/>
            <w:tcBorders>
              <w:left w:val="single" w:color="auto" w:sz="4" w:space="0"/>
              <w:right w:val="single" w:color="auto" w:sz="4" w:space="0"/>
            </w:tcBorders>
            <w:noWrap w:val="0"/>
            <w:vAlign w:val="center"/>
          </w:tcPr>
          <w:p w14:paraId="0C7AB28F">
            <w:pPr>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b/>
                <w:color w:val="auto"/>
                <w:sz w:val="24"/>
                <w:highlight w:val="none"/>
              </w:rPr>
              <w:t>总分</w:t>
            </w:r>
          </w:p>
        </w:tc>
        <w:tc>
          <w:tcPr>
            <w:tcW w:w="0" w:type="auto"/>
            <w:tcBorders>
              <w:left w:val="single" w:color="auto" w:sz="4" w:space="0"/>
              <w:right w:val="single" w:color="auto" w:sz="4" w:space="0"/>
            </w:tcBorders>
            <w:noWrap w:val="0"/>
            <w:vAlign w:val="center"/>
          </w:tcPr>
          <w:p w14:paraId="24B19665">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b/>
                <w:color w:val="auto"/>
                <w:sz w:val="24"/>
                <w:highlight w:val="none"/>
                <w:lang w:val="en-US" w:eastAsia="zh-CN"/>
              </w:rPr>
              <w:t>40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C2B613">
            <w:pPr>
              <w:spacing w:line="360" w:lineRule="auto"/>
              <w:jc w:val="center"/>
              <w:rPr>
                <w:rFonts w:hint="eastAsia" w:ascii="宋体" w:hAnsi="宋体" w:cs="宋体"/>
                <w:color w:val="auto"/>
                <w:sz w:val="24"/>
                <w:szCs w:val="24"/>
                <w:highlight w:val="none"/>
                <w:lang w:val="en-US" w:eastAsia="zh-CN"/>
              </w:rPr>
            </w:pPr>
          </w:p>
        </w:tc>
      </w:tr>
    </w:tbl>
    <w:p w14:paraId="362D5531">
      <w:pPr>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（三）商务标评定分值为</w:t>
      </w:r>
      <w:r>
        <w:rPr>
          <w:rFonts w:hint="eastAsia" w:ascii="宋体" w:hAnsi="宋体" w:cs="宋体"/>
          <w:b/>
          <w:bCs/>
          <w:color w:val="000000"/>
          <w:sz w:val="24"/>
          <w:highlight w:val="none"/>
          <w:lang w:val="en-US" w:eastAsia="zh-CN"/>
        </w:rPr>
        <w:t>60</w:t>
      </w:r>
      <w:r>
        <w:rPr>
          <w:rFonts w:hint="eastAsia" w:ascii="宋体" w:hAnsi="宋体" w:cs="宋体"/>
          <w:b/>
          <w:bCs/>
          <w:color w:val="000000"/>
          <w:sz w:val="24"/>
          <w:highlight w:val="none"/>
        </w:rPr>
        <w:t>分。</w:t>
      </w:r>
      <w:r>
        <w:rPr>
          <w:rFonts w:hint="eastAsia" w:ascii="宋体" w:hAnsi="宋体" w:cs="宋体"/>
          <w:color w:val="000000"/>
          <w:sz w:val="24"/>
          <w:highlight w:val="none"/>
        </w:rPr>
        <w:t>（以下除注明外，计算结果小数点后保留2位，第3位四舍五入）。</w:t>
      </w:r>
    </w:p>
    <w:p w14:paraId="5DD8601D">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rPr>
        <w:t>1）通过商务标符合性审查的投标报价=3家，按所有有效投标报价的算术平均值作为评标基准价；通过商务标符合性审查的投标报价=4家，去掉有效投标报价中的最高的一个报价后，取剩余有效投标报价的的算术平均值作为评标基准价；通过商务标符合性审查的投标报价≥5家，去掉有效报价中最高的两个报价后，取剩余有效投标报价的算术平均值作为评标基准价。</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评标基准价计算结果百分号前保留两位小数，第3位四舍五入</w:t>
      </w:r>
      <w:r>
        <w:rPr>
          <w:rFonts w:hint="eastAsia" w:ascii="宋体" w:hAnsi="宋体" w:cs="宋体"/>
          <w:b w:val="0"/>
          <w:bCs w:val="0"/>
          <w:color w:val="auto"/>
          <w:sz w:val="24"/>
          <w:highlight w:val="none"/>
          <w:lang w:eastAsia="zh-CN"/>
        </w:rPr>
        <w:t>）。</w:t>
      </w:r>
    </w:p>
    <w:p w14:paraId="3BA31ED1">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000000"/>
          <w:sz w:val="24"/>
          <w:highlight w:val="none"/>
          <w:lang w:val="zh-CN"/>
        </w:rPr>
      </w:pPr>
      <w:r>
        <w:rPr>
          <w:rFonts w:hint="eastAsia" w:ascii="宋体" w:hAnsi="宋体" w:cs="宋体"/>
          <w:b w:val="0"/>
          <w:bCs w:val="0"/>
          <w:color w:val="000000"/>
          <w:sz w:val="24"/>
          <w:highlight w:val="none"/>
        </w:rPr>
        <w:t>投标人的投标报价得分按下列方式计算：</w:t>
      </w:r>
    </w:p>
    <w:p w14:paraId="69F5B47A">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zh-CN" w:eastAsia="zh-CN" w:bidi="ar-SA"/>
        </w:rPr>
        <w:t>①</w:t>
      </w:r>
      <w:r>
        <w:rPr>
          <w:rFonts w:hint="eastAsia" w:ascii="宋体" w:hAnsi="宋体" w:eastAsia="宋体" w:cs="宋体"/>
          <w:b w:val="0"/>
          <w:bCs w:val="0"/>
          <w:color w:val="000000"/>
          <w:kern w:val="2"/>
          <w:sz w:val="24"/>
          <w:szCs w:val="24"/>
          <w:highlight w:val="none"/>
          <w:lang w:val="zh-CN" w:eastAsia="zh-CN" w:bidi="ar-SA"/>
        </w:rPr>
        <w:t>投标</w:t>
      </w:r>
      <w:r>
        <w:rPr>
          <w:rFonts w:hint="eastAsia" w:ascii="宋体" w:hAnsi="宋体" w:cs="宋体"/>
          <w:b w:val="0"/>
          <w:bCs w:val="0"/>
          <w:color w:val="000000"/>
          <w:kern w:val="2"/>
          <w:sz w:val="24"/>
          <w:szCs w:val="24"/>
          <w:highlight w:val="none"/>
          <w:lang w:val="en-US" w:eastAsia="zh-CN" w:bidi="ar-SA"/>
        </w:rPr>
        <w:t>报</w:t>
      </w:r>
      <w:r>
        <w:rPr>
          <w:rFonts w:hint="eastAsia" w:ascii="宋体" w:hAnsi="宋体" w:eastAsia="宋体" w:cs="宋体"/>
          <w:b w:val="0"/>
          <w:bCs w:val="0"/>
          <w:color w:val="000000"/>
          <w:kern w:val="2"/>
          <w:sz w:val="24"/>
          <w:szCs w:val="24"/>
          <w:highlight w:val="none"/>
          <w:lang w:val="zh-CN" w:eastAsia="zh-CN" w:bidi="ar-SA"/>
        </w:rPr>
        <w:t>价等于</w:t>
      </w:r>
      <w:r>
        <w:rPr>
          <w:rFonts w:hint="eastAsia" w:ascii="宋体" w:hAnsi="宋体" w:cs="宋体"/>
          <w:b w:val="0"/>
          <w:bCs w:val="0"/>
          <w:color w:val="000000"/>
          <w:kern w:val="2"/>
          <w:sz w:val="24"/>
          <w:szCs w:val="24"/>
          <w:highlight w:val="none"/>
          <w:lang w:val="zh-CN" w:eastAsia="zh-CN" w:bidi="ar-SA"/>
        </w:rPr>
        <w:t>评标基准价</w:t>
      </w:r>
      <w:r>
        <w:rPr>
          <w:rFonts w:hint="eastAsia" w:ascii="宋体" w:hAnsi="宋体" w:eastAsia="宋体" w:cs="宋体"/>
          <w:b w:val="0"/>
          <w:bCs w:val="0"/>
          <w:color w:val="000000"/>
          <w:kern w:val="2"/>
          <w:sz w:val="24"/>
          <w:szCs w:val="24"/>
          <w:highlight w:val="none"/>
          <w:lang w:val="zh-CN" w:eastAsia="zh-CN" w:bidi="ar-SA"/>
        </w:rPr>
        <w:t>时，得</w:t>
      </w:r>
      <w:r>
        <w:rPr>
          <w:rFonts w:hint="eastAsia" w:ascii="宋体" w:hAnsi="宋体" w:cs="宋体"/>
          <w:b w:val="0"/>
          <w:bCs w:val="0"/>
          <w:color w:val="000000"/>
          <w:kern w:val="2"/>
          <w:sz w:val="24"/>
          <w:szCs w:val="24"/>
          <w:highlight w:val="none"/>
          <w:lang w:val="en-US" w:eastAsia="zh-CN" w:bidi="ar-SA"/>
        </w:rPr>
        <w:t>60</w:t>
      </w:r>
      <w:r>
        <w:rPr>
          <w:rFonts w:hint="eastAsia" w:ascii="宋体" w:hAnsi="宋体" w:eastAsia="宋体" w:cs="宋体"/>
          <w:b w:val="0"/>
          <w:bCs w:val="0"/>
          <w:color w:val="000000"/>
          <w:kern w:val="2"/>
          <w:sz w:val="24"/>
          <w:szCs w:val="24"/>
          <w:highlight w:val="none"/>
          <w:lang w:val="zh-CN" w:eastAsia="zh-CN" w:bidi="ar-SA"/>
        </w:rPr>
        <w:t>分；</w:t>
      </w:r>
      <w:r>
        <w:rPr>
          <w:rFonts w:hint="eastAsia" w:ascii="宋体" w:hAnsi="宋体" w:eastAsia="宋体" w:cs="宋体"/>
          <w:b w:val="0"/>
          <w:bCs w:val="0"/>
          <w:color w:val="000000"/>
          <w:kern w:val="2"/>
          <w:sz w:val="24"/>
          <w:szCs w:val="24"/>
          <w:highlight w:val="none"/>
          <w:lang w:val="en-US" w:eastAsia="zh-CN" w:bidi="ar-SA"/>
        </w:rPr>
        <w:t xml:space="preserve"> </w:t>
      </w:r>
    </w:p>
    <w:p w14:paraId="4A67F6DA">
      <w:pPr>
        <w:pStyle w:val="2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cs="宋体"/>
          <w:b w:val="0"/>
          <w:bCs w:val="0"/>
          <w:color w:val="000000"/>
          <w:kern w:val="2"/>
          <w:sz w:val="24"/>
          <w:szCs w:val="24"/>
          <w:highlight w:val="none"/>
          <w:lang w:val="zh-CN" w:eastAsia="zh-CN" w:bidi="ar-SA"/>
        </w:rPr>
        <w:t>②</w:t>
      </w:r>
      <w:r>
        <w:rPr>
          <w:rFonts w:hint="eastAsia" w:ascii="宋体" w:hAnsi="宋体" w:eastAsia="宋体" w:cs="宋体"/>
          <w:b w:val="0"/>
          <w:bCs w:val="0"/>
          <w:color w:val="000000"/>
          <w:kern w:val="2"/>
          <w:sz w:val="24"/>
          <w:szCs w:val="24"/>
          <w:highlight w:val="none"/>
          <w:lang w:val="zh-CN" w:eastAsia="zh-CN" w:bidi="ar-SA"/>
        </w:rPr>
        <w:t>投标</w:t>
      </w:r>
      <w:r>
        <w:rPr>
          <w:rFonts w:hint="eastAsia" w:ascii="宋体" w:hAnsi="宋体" w:cs="宋体"/>
          <w:b w:val="0"/>
          <w:bCs w:val="0"/>
          <w:color w:val="000000"/>
          <w:kern w:val="2"/>
          <w:sz w:val="24"/>
          <w:szCs w:val="24"/>
          <w:highlight w:val="none"/>
          <w:lang w:val="en-US" w:eastAsia="zh-CN" w:bidi="ar-SA"/>
        </w:rPr>
        <w:t>报</w:t>
      </w:r>
      <w:r>
        <w:rPr>
          <w:rFonts w:hint="eastAsia" w:ascii="宋体" w:hAnsi="宋体" w:eastAsia="宋体" w:cs="宋体"/>
          <w:b w:val="0"/>
          <w:bCs w:val="0"/>
          <w:color w:val="000000"/>
          <w:kern w:val="2"/>
          <w:sz w:val="24"/>
          <w:szCs w:val="24"/>
          <w:highlight w:val="none"/>
          <w:lang w:val="zh-CN" w:eastAsia="zh-CN" w:bidi="ar-SA"/>
        </w:rPr>
        <w:t>价每低于</w:t>
      </w:r>
      <w:r>
        <w:rPr>
          <w:rFonts w:hint="eastAsia" w:ascii="宋体" w:hAnsi="宋体" w:cs="宋体"/>
          <w:b w:val="0"/>
          <w:bCs w:val="0"/>
          <w:color w:val="000000"/>
          <w:kern w:val="2"/>
          <w:sz w:val="24"/>
          <w:szCs w:val="24"/>
          <w:highlight w:val="none"/>
          <w:lang w:val="zh-CN" w:eastAsia="zh-CN" w:bidi="ar-SA"/>
        </w:rPr>
        <w:t>评标基准价</w:t>
      </w:r>
      <w:r>
        <w:rPr>
          <w:rFonts w:hint="eastAsia" w:ascii="宋体" w:hAnsi="宋体" w:eastAsia="宋体" w:cs="宋体"/>
          <w:b w:val="0"/>
          <w:bCs w:val="0"/>
          <w:color w:val="000000"/>
          <w:kern w:val="2"/>
          <w:sz w:val="24"/>
          <w:szCs w:val="24"/>
          <w:highlight w:val="none"/>
          <w:lang w:val="zh-CN" w:eastAsia="zh-CN" w:bidi="ar-SA"/>
        </w:rPr>
        <w:t>1个百分点，扣</w:t>
      </w:r>
      <w:r>
        <w:rPr>
          <w:rFonts w:hint="eastAsia" w:ascii="宋体" w:hAnsi="宋体" w:cs="宋体"/>
          <w:b w:val="0"/>
          <w:bCs w:val="0"/>
          <w:color w:val="000000"/>
          <w:kern w:val="2"/>
          <w:sz w:val="24"/>
          <w:szCs w:val="24"/>
          <w:highlight w:val="none"/>
          <w:lang w:val="en-US" w:eastAsia="zh-CN" w:bidi="ar-SA"/>
        </w:rPr>
        <w:t>0.5</w:t>
      </w:r>
      <w:r>
        <w:rPr>
          <w:rFonts w:hint="eastAsia" w:ascii="宋体" w:hAnsi="宋体" w:eastAsia="宋体" w:cs="宋体"/>
          <w:b w:val="0"/>
          <w:bCs w:val="0"/>
          <w:color w:val="000000"/>
          <w:kern w:val="2"/>
          <w:sz w:val="24"/>
          <w:szCs w:val="24"/>
          <w:highlight w:val="none"/>
          <w:lang w:val="zh-CN" w:eastAsia="zh-CN" w:bidi="ar-SA"/>
        </w:rPr>
        <w:t>分</w:t>
      </w:r>
      <w:r>
        <w:rPr>
          <w:rFonts w:hint="eastAsia" w:ascii="宋体" w:hAnsi="宋体" w:cs="宋体"/>
          <w:b w:val="0"/>
          <w:bCs w:val="0"/>
          <w:color w:val="000000"/>
          <w:kern w:val="2"/>
          <w:sz w:val="24"/>
          <w:szCs w:val="24"/>
          <w:highlight w:val="none"/>
          <w:lang w:val="zh-CN" w:eastAsia="zh-CN" w:bidi="ar-SA"/>
        </w:rPr>
        <w:t>，</w:t>
      </w:r>
      <w:r>
        <w:rPr>
          <w:rFonts w:hint="eastAsia" w:ascii="宋体" w:hAnsi="宋体" w:cs="宋体"/>
          <w:b w:val="0"/>
          <w:bCs w:val="0"/>
          <w:color w:val="000000"/>
          <w:sz w:val="24"/>
          <w:highlight w:val="none"/>
        </w:rPr>
        <w:t>即商务标得分=</w:t>
      </w:r>
      <w:r>
        <w:rPr>
          <w:rFonts w:hint="eastAsia" w:ascii="宋体" w:hAnsi="宋体" w:cs="宋体"/>
          <w:b w:val="0"/>
          <w:bCs w:val="0"/>
          <w:color w:val="000000"/>
          <w:sz w:val="24"/>
          <w:highlight w:val="none"/>
          <w:lang w:val="en-US" w:eastAsia="zh-CN"/>
        </w:rPr>
        <w:t>60</w:t>
      </w:r>
      <w:r>
        <w:rPr>
          <w:rFonts w:hint="eastAsia" w:ascii="宋体" w:hAnsi="宋体" w:cs="宋体"/>
          <w:b w:val="0"/>
          <w:bCs w:val="0"/>
          <w:color w:val="000000"/>
          <w:sz w:val="24"/>
          <w:highlight w:val="none"/>
        </w:rPr>
        <w:t>-│（投标报价-</w:t>
      </w:r>
      <w:r>
        <w:rPr>
          <w:rFonts w:hint="eastAsia" w:ascii="宋体" w:hAnsi="宋体" w:cs="宋体"/>
          <w:b w:val="0"/>
          <w:bCs w:val="0"/>
          <w:color w:val="000000"/>
          <w:sz w:val="24"/>
          <w:highlight w:val="none"/>
          <w:lang w:eastAsia="zh-CN"/>
        </w:rPr>
        <w:t>评标基准价</w:t>
      </w:r>
      <w:r>
        <w:rPr>
          <w:rFonts w:hint="eastAsia" w:ascii="宋体" w:hAnsi="宋体" w:cs="宋体"/>
          <w:b w:val="0"/>
          <w:bCs w:val="0"/>
          <w:color w:val="000000"/>
          <w:sz w:val="24"/>
          <w:highlight w:val="none"/>
        </w:rPr>
        <w:t>）│/</w:t>
      </w:r>
      <w:r>
        <w:rPr>
          <w:rFonts w:hint="eastAsia" w:ascii="宋体" w:hAnsi="宋体" w:cs="宋体"/>
          <w:b w:val="0"/>
          <w:bCs w:val="0"/>
          <w:color w:val="000000"/>
          <w:sz w:val="24"/>
          <w:highlight w:val="none"/>
          <w:lang w:eastAsia="zh-CN"/>
        </w:rPr>
        <w:t>评标基准价</w:t>
      </w:r>
      <w:r>
        <w:rPr>
          <w:rFonts w:hint="eastAsia" w:ascii="宋体" w:hAnsi="宋体" w:cs="宋体"/>
          <w:b w:val="0"/>
          <w:bCs w:val="0"/>
          <w:color w:val="000000"/>
          <w:sz w:val="24"/>
          <w:highlight w:val="none"/>
        </w:rPr>
        <w:t>×100×0.5（报价得分计算结果小数点后保留2位，小数点后第3位四舍五入）</w:t>
      </w:r>
      <w:r>
        <w:rPr>
          <w:rFonts w:hint="eastAsia" w:ascii="宋体" w:hAnsi="宋体" w:eastAsia="宋体" w:cs="宋体"/>
          <w:b w:val="0"/>
          <w:bCs w:val="0"/>
          <w:color w:val="000000"/>
          <w:kern w:val="2"/>
          <w:sz w:val="24"/>
          <w:szCs w:val="24"/>
          <w:highlight w:val="none"/>
          <w:lang w:val="zh-CN" w:eastAsia="zh-CN" w:bidi="ar-SA"/>
        </w:rPr>
        <w:t>；</w:t>
      </w:r>
    </w:p>
    <w:p w14:paraId="5D78AC52">
      <w:pPr>
        <w:pStyle w:val="2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zh-CN" w:eastAsia="zh-CN" w:bidi="ar-SA"/>
        </w:rPr>
        <w:t>③</w:t>
      </w:r>
      <w:r>
        <w:rPr>
          <w:rFonts w:hint="eastAsia" w:ascii="宋体" w:hAnsi="宋体" w:eastAsia="宋体" w:cs="宋体"/>
          <w:b w:val="0"/>
          <w:bCs w:val="0"/>
          <w:color w:val="000000"/>
          <w:kern w:val="2"/>
          <w:sz w:val="24"/>
          <w:szCs w:val="24"/>
          <w:highlight w:val="none"/>
          <w:lang w:val="zh-CN" w:eastAsia="zh-CN" w:bidi="ar-SA"/>
        </w:rPr>
        <w:t>投标</w:t>
      </w:r>
      <w:r>
        <w:rPr>
          <w:rFonts w:hint="eastAsia" w:ascii="宋体" w:hAnsi="宋体" w:cs="宋体"/>
          <w:b w:val="0"/>
          <w:bCs w:val="0"/>
          <w:color w:val="000000"/>
          <w:kern w:val="2"/>
          <w:sz w:val="24"/>
          <w:szCs w:val="24"/>
          <w:highlight w:val="none"/>
          <w:lang w:val="en-US" w:eastAsia="zh-CN" w:bidi="ar-SA"/>
        </w:rPr>
        <w:t>报</w:t>
      </w:r>
      <w:r>
        <w:rPr>
          <w:rFonts w:hint="eastAsia" w:ascii="宋体" w:hAnsi="宋体" w:eastAsia="宋体" w:cs="宋体"/>
          <w:b w:val="0"/>
          <w:bCs w:val="0"/>
          <w:color w:val="000000"/>
          <w:kern w:val="2"/>
          <w:sz w:val="24"/>
          <w:szCs w:val="24"/>
          <w:highlight w:val="none"/>
          <w:lang w:val="zh-CN" w:eastAsia="zh-CN" w:bidi="ar-SA"/>
        </w:rPr>
        <w:t>价每高于</w:t>
      </w:r>
      <w:r>
        <w:rPr>
          <w:rFonts w:hint="eastAsia" w:ascii="宋体" w:hAnsi="宋体" w:cs="宋体"/>
          <w:b w:val="0"/>
          <w:bCs w:val="0"/>
          <w:color w:val="000000"/>
          <w:kern w:val="2"/>
          <w:sz w:val="24"/>
          <w:szCs w:val="24"/>
          <w:highlight w:val="none"/>
          <w:lang w:val="zh-CN" w:eastAsia="zh-CN" w:bidi="ar-SA"/>
        </w:rPr>
        <w:t>评标基准价</w:t>
      </w:r>
      <w:r>
        <w:rPr>
          <w:rFonts w:hint="eastAsia" w:ascii="宋体" w:hAnsi="宋体" w:eastAsia="宋体" w:cs="宋体"/>
          <w:b w:val="0"/>
          <w:bCs w:val="0"/>
          <w:color w:val="000000"/>
          <w:kern w:val="2"/>
          <w:sz w:val="24"/>
          <w:szCs w:val="24"/>
          <w:highlight w:val="none"/>
          <w:lang w:val="zh-CN" w:eastAsia="zh-CN" w:bidi="ar-SA"/>
        </w:rPr>
        <w:t>1个百分点，扣</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zh-CN" w:eastAsia="zh-CN" w:bidi="ar-SA"/>
        </w:rPr>
        <w:t>分</w:t>
      </w:r>
      <w:r>
        <w:rPr>
          <w:rFonts w:hint="eastAsia" w:ascii="宋体" w:hAnsi="宋体" w:cs="宋体"/>
          <w:b w:val="0"/>
          <w:bCs w:val="0"/>
          <w:color w:val="000000"/>
          <w:kern w:val="2"/>
          <w:sz w:val="24"/>
          <w:szCs w:val="24"/>
          <w:highlight w:val="none"/>
          <w:lang w:val="zh-CN" w:eastAsia="zh-CN" w:bidi="ar-SA"/>
        </w:rPr>
        <w:t>，</w:t>
      </w:r>
      <w:r>
        <w:rPr>
          <w:rFonts w:hint="eastAsia" w:ascii="宋体" w:hAnsi="宋体" w:eastAsia="宋体" w:cs="宋体"/>
          <w:b w:val="0"/>
          <w:bCs w:val="0"/>
          <w:color w:val="000000"/>
          <w:sz w:val="24"/>
          <w:highlight w:val="none"/>
        </w:rPr>
        <w:t>即商务标得分</w:t>
      </w:r>
      <w:r>
        <w:rPr>
          <w:rFonts w:hint="eastAsia" w:ascii="宋体" w:hAnsi="宋体" w:cs="宋体"/>
          <w:b w:val="0"/>
          <w:bCs w:val="0"/>
          <w:color w:val="000000"/>
          <w:sz w:val="24"/>
          <w:highlight w:val="none"/>
        </w:rPr>
        <w:t>=</w:t>
      </w:r>
      <w:r>
        <w:rPr>
          <w:rFonts w:hint="eastAsia" w:ascii="宋体" w:hAnsi="宋体" w:cs="宋体"/>
          <w:b w:val="0"/>
          <w:bCs w:val="0"/>
          <w:color w:val="000000"/>
          <w:sz w:val="24"/>
          <w:highlight w:val="none"/>
          <w:lang w:val="en-US" w:eastAsia="zh-CN"/>
        </w:rPr>
        <w:t>60</w:t>
      </w:r>
      <w:r>
        <w:rPr>
          <w:rFonts w:hint="eastAsia" w:ascii="宋体" w:hAnsi="宋体" w:cs="宋体"/>
          <w:b w:val="0"/>
          <w:bCs w:val="0"/>
          <w:color w:val="000000"/>
          <w:sz w:val="24"/>
          <w:highlight w:val="none"/>
        </w:rPr>
        <w:t>-│（投标报价-</w:t>
      </w:r>
      <w:r>
        <w:rPr>
          <w:rFonts w:hint="eastAsia" w:ascii="宋体" w:hAnsi="宋体" w:cs="宋体"/>
          <w:b w:val="0"/>
          <w:bCs w:val="0"/>
          <w:color w:val="000000"/>
          <w:sz w:val="24"/>
          <w:highlight w:val="none"/>
          <w:lang w:eastAsia="zh-CN"/>
        </w:rPr>
        <w:t>评标基准价</w:t>
      </w:r>
      <w:r>
        <w:rPr>
          <w:rFonts w:hint="eastAsia" w:ascii="宋体" w:hAnsi="宋体" w:cs="宋体"/>
          <w:b w:val="0"/>
          <w:bCs w:val="0"/>
          <w:color w:val="000000"/>
          <w:sz w:val="24"/>
          <w:highlight w:val="none"/>
        </w:rPr>
        <w:t>）│/</w:t>
      </w:r>
      <w:r>
        <w:rPr>
          <w:rFonts w:hint="eastAsia" w:ascii="宋体" w:hAnsi="宋体" w:cs="宋体"/>
          <w:b w:val="0"/>
          <w:bCs w:val="0"/>
          <w:color w:val="000000"/>
          <w:sz w:val="24"/>
          <w:highlight w:val="none"/>
          <w:lang w:eastAsia="zh-CN"/>
        </w:rPr>
        <w:t>评标基准价</w:t>
      </w:r>
      <w:r>
        <w:rPr>
          <w:rFonts w:hint="eastAsia" w:ascii="宋体" w:hAnsi="宋体" w:cs="宋体"/>
          <w:b w:val="0"/>
          <w:bCs w:val="0"/>
          <w:color w:val="000000"/>
          <w:sz w:val="24"/>
          <w:highlight w:val="none"/>
        </w:rPr>
        <w:t>×100×1（报价得分计算结果小数点后保留2位，小数点后第3位四舍五入）</w:t>
      </w:r>
      <w:r>
        <w:rPr>
          <w:rFonts w:hint="eastAsia" w:ascii="宋体" w:hAnsi="宋体" w:eastAsia="宋体" w:cs="宋体"/>
          <w:b w:val="0"/>
          <w:bCs w:val="0"/>
          <w:color w:val="000000"/>
          <w:kern w:val="2"/>
          <w:sz w:val="24"/>
          <w:szCs w:val="24"/>
          <w:highlight w:val="none"/>
          <w:lang w:val="zh-CN" w:eastAsia="zh-CN" w:bidi="ar-SA"/>
        </w:rPr>
        <w:t>。</w:t>
      </w:r>
    </w:p>
    <w:p w14:paraId="01BE86ED">
      <w:pPr>
        <w:numPr>
          <w:ilvl w:val="0"/>
          <w:numId w:val="0"/>
        </w:numPr>
        <w:spacing w:line="400" w:lineRule="exact"/>
        <w:ind w:firstLine="480" w:firstLineChars="200"/>
        <w:rPr>
          <w:rFonts w:ascii="宋体" w:hAnsi="宋体"/>
          <w:b/>
          <w:color w:val="auto"/>
          <w:sz w:val="24"/>
          <w:highlight w:val="none"/>
          <w:u w:val="single"/>
        </w:rPr>
      </w:pP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lang w:val="en-US" w:eastAsia="zh-CN"/>
        </w:rPr>
        <w:t>2</w:t>
      </w:r>
      <w:r>
        <w:rPr>
          <w:rFonts w:hint="eastAsia" w:ascii="宋体" w:hAnsi="宋体" w:cs="宋体"/>
          <w:b w:val="0"/>
          <w:bCs w:val="0"/>
          <w:color w:val="000000"/>
          <w:sz w:val="24"/>
          <w:highlight w:val="none"/>
        </w:rPr>
        <w:t>）</w:t>
      </w:r>
      <w:r>
        <w:rPr>
          <w:rFonts w:hint="eastAsia" w:ascii="宋体" w:hAnsi="宋体"/>
          <w:b/>
          <w:bCs/>
          <w:color w:val="auto"/>
          <w:sz w:val="24"/>
          <w:highlight w:val="none"/>
          <w:u w:val="single"/>
        </w:rPr>
        <w:t>▲本项目采购</w:t>
      </w:r>
      <w:r>
        <w:rPr>
          <w:rFonts w:hint="eastAsia" w:ascii="宋体" w:hAnsi="宋体"/>
          <w:b/>
          <w:color w:val="auto"/>
          <w:sz w:val="24"/>
          <w:highlight w:val="none"/>
          <w:u w:val="single"/>
          <w:lang w:eastAsia="zh-CN"/>
        </w:rPr>
        <w:t>费率</w:t>
      </w:r>
      <w:r>
        <w:rPr>
          <w:rFonts w:hint="eastAsia" w:ascii="宋体" w:hAnsi="宋体"/>
          <w:b/>
          <w:bCs/>
          <w:color w:val="auto"/>
          <w:sz w:val="24"/>
          <w:highlight w:val="none"/>
          <w:u w:val="single"/>
        </w:rPr>
        <w:t>最高限</w:t>
      </w:r>
      <w:r>
        <w:rPr>
          <w:rFonts w:hint="eastAsia" w:ascii="宋体" w:hAnsi="宋体"/>
          <w:b/>
          <w:bCs/>
          <w:color w:val="auto"/>
          <w:sz w:val="24"/>
          <w:highlight w:val="none"/>
          <w:u w:val="single"/>
          <w:lang w:eastAsia="zh-CN"/>
        </w:rPr>
        <w:t>额</w:t>
      </w:r>
      <w:r>
        <w:rPr>
          <w:rFonts w:hint="eastAsia" w:ascii="宋体" w:hAnsi="宋体"/>
          <w:b/>
          <w:bCs/>
          <w:color w:val="auto"/>
          <w:sz w:val="24"/>
          <w:highlight w:val="none"/>
          <w:u w:val="single"/>
        </w:rPr>
        <w:t>：</w:t>
      </w:r>
      <w:r>
        <w:rPr>
          <w:rFonts w:hint="eastAsia" w:ascii="宋体" w:hAnsi="宋体"/>
          <w:b/>
          <w:bCs/>
          <w:color w:val="auto"/>
          <w:sz w:val="24"/>
          <w:highlight w:val="none"/>
          <w:u w:val="single"/>
          <w:lang w:val="en-US" w:eastAsia="zh-CN"/>
        </w:rPr>
        <w:t>40%</w:t>
      </w:r>
      <w:r>
        <w:rPr>
          <w:rFonts w:hint="eastAsia" w:ascii="宋体" w:hAnsi="宋体"/>
          <w:b/>
          <w:bCs/>
          <w:color w:val="auto"/>
          <w:sz w:val="24"/>
          <w:highlight w:val="none"/>
          <w:u w:val="single"/>
        </w:rPr>
        <w:t>，如投</w:t>
      </w:r>
      <w:r>
        <w:rPr>
          <w:rFonts w:hint="eastAsia" w:ascii="宋体" w:hAnsi="宋体"/>
          <w:b/>
          <w:color w:val="auto"/>
          <w:sz w:val="24"/>
          <w:highlight w:val="none"/>
          <w:u w:val="single"/>
        </w:rPr>
        <w:t>标</w:t>
      </w:r>
      <w:r>
        <w:rPr>
          <w:rFonts w:hint="eastAsia" w:ascii="宋体" w:hAnsi="宋体"/>
          <w:b/>
          <w:color w:val="auto"/>
          <w:sz w:val="24"/>
          <w:highlight w:val="none"/>
          <w:u w:val="single"/>
          <w:lang w:eastAsia="zh-CN"/>
        </w:rPr>
        <w:t>人所报费率高于投标费率最高限额的</w:t>
      </w:r>
      <w:r>
        <w:rPr>
          <w:rFonts w:hint="eastAsia" w:ascii="宋体" w:hAnsi="宋体"/>
          <w:b/>
          <w:color w:val="auto"/>
          <w:sz w:val="24"/>
          <w:highlight w:val="none"/>
          <w:u w:val="single"/>
        </w:rPr>
        <w:t>，其投标文件作无效标处理。</w:t>
      </w:r>
    </w:p>
    <w:p w14:paraId="44D4D304">
      <w:pPr>
        <w:pStyle w:val="22"/>
        <w:tabs>
          <w:tab w:val="left" w:pos="574"/>
        </w:tabs>
        <w:snapToGrid w:val="0"/>
        <w:spacing w:after="0" w:line="400" w:lineRule="exact"/>
        <w:ind w:firstLine="480" w:firstLineChars="200"/>
        <w:rPr>
          <w:rFonts w:hint="eastAsia" w:ascii="宋体" w:hAnsi="宋体" w:eastAsia="宋体" w:cs="Arial"/>
          <w:color w:val="auto"/>
          <w:kern w:val="2"/>
          <w:sz w:val="24"/>
          <w:szCs w:val="24"/>
          <w:highlight w:val="none"/>
          <w:lang w:val="en-US" w:eastAsia="zh-CN" w:bidi="ar-SA"/>
        </w:rPr>
      </w:pPr>
      <w:bookmarkStart w:id="30" w:name="OLE_LINK7"/>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lang w:val="en-US" w:eastAsia="zh-CN"/>
        </w:rPr>
        <w:t>3</w:t>
      </w:r>
      <w:r>
        <w:rPr>
          <w:rFonts w:hint="eastAsia" w:ascii="宋体" w:hAnsi="宋体" w:cs="宋体"/>
          <w:b w:val="0"/>
          <w:bCs w:val="0"/>
          <w:color w:val="000000"/>
          <w:sz w:val="24"/>
          <w:highlight w:val="none"/>
        </w:rPr>
        <w:t>）</w:t>
      </w:r>
      <w:bookmarkEnd w:id="30"/>
      <w:r>
        <w:rPr>
          <w:rFonts w:hint="eastAsia" w:ascii="宋体" w:hAnsi="宋体" w:eastAsia="宋体" w:cs="Arial"/>
          <w:color w:val="auto"/>
          <w:kern w:val="2"/>
          <w:sz w:val="24"/>
          <w:szCs w:val="24"/>
          <w:highlight w:val="none"/>
          <w:lang w:val="en-US" w:eastAsia="zh-CN" w:bidi="ar-SA"/>
        </w:rPr>
        <w:t>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14:paraId="50CC9B87">
      <w:pPr>
        <w:topLinePunct/>
        <w:spacing w:line="400" w:lineRule="exact"/>
        <w:ind w:firstLine="720" w:firstLineChars="300"/>
        <w:rPr>
          <w:rFonts w:ascii="宋体" w:hAnsi="宋体" w:cs="Arial"/>
          <w:color w:val="auto"/>
          <w:sz w:val="24"/>
          <w:highlight w:val="none"/>
        </w:rPr>
      </w:pP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lang w:val="en-US" w:eastAsia="zh-CN"/>
        </w:rPr>
        <w:t>4</w:t>
      </w:r>
      <w:r>
        <w:rPr>
          <w:rFonts w:hint="eastAsia" w:ascii="宋体" w:hAnsi="宋体" w:cs="宋体"/>
          <w:b w:val="0"/>
          <w:bCs w:val="0"/>
          <w:color w:val="000000"/>
          <w:sz w:val="24"/>
          <w:highlight w:val="none"/>
        </w:rPr>
        <w:t>）</w:t>
      </w:r>
      <w:r>
        <w:rPr>
          <w:rFonts w:hint="eastAsia" w:ascii="宋体" w:hAnsi="宋体" w:cs="Arial"/>
          <w:color w:val="auto"/>
          <w:sz w:val="24"/>
          <w:highlight w:val="none"/>
        </w:rPr>
        <w:t>所有投标</w:t>
      </w:r>
      <w:r>
        <w:rPr>
          <w:rFonts w:hint="eastAsia" w:ascii="宋体" w:hAnsi="宋体" w:cs="Arial"/>
          <w:color w:val="auto"/>
          <w:sz w:val="24"/>
          <w:highlight w:val="none"/>
          <w:lang w:eastAsia="zh-CN"/>
        </w:rPr>
        <w:t>人</w:t>
      </w:r>
      <w:r>
        <w:rPr>
          <w:rFonts w:hint="eastAsia" w:ascii="宋体" w:hAnsi="宋体" w:cs="Arial"/>
          <w:color w:val="auto"/>
          <w:sz w:val="24"/>
          <w:highlight w:val="none"/>
        </w:rPr>
        <w:t>商务报价均超采购预算，本次招标失败，重新组织招标。</w:t>
      </w:r>
    </w:p>
    <w:p w14:paraId="30DF46E1">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（四）有效投标</w:t>
      </w:r>
      <w:r>
        <w:rPr>
          <w:rFonts w:hint="eastAsia" w:ascii="宋体" w:hAnsi="宋体"/>
          <w:bCs/>
          <w:color w:val="auto"/>
          <w:sz w:val="24"/>
          <w:highlight w:val="none"/>
          <w:lang w:eastAsia="zh-CN"/>
        </w:rPr>
        <w:t>人</w:t>
      </w:r>
      <w:r>
        <w:rPr>
          <w:rFonts w:hint="eastAsia" w:ascii="宋体" w:hAnsi="宋体"/>
          <w:bCs/>
          <w:color w:val="auto"/>
          <w:sz w:val="24"/>
          <w:highlight w:val="none"/>
        </w:rPr>
        <w:t>的综合得分=技术资信标得分</w:t>
      </w:r>
      <w:r>
        <w:rPr>
          <w:rFonts w:hint="eastAsia" w:ascii="宋体" w:hAnsi="宋体"/>
          <w:bCs/>
          <w:color w:val="auto"/>
          <w:spacing w:val="-4"/>
          <w:sz w:val="24"/>
          <w:highlight w:val="none"/>
        </w:rPr>
        <w:t>+</w:t>
      </w:r>
      <w:r>
        <w:rPr>
          <w:rFonts w:hint="eastAsia" w:ascii="宋体" w:hAnsi="宋体"/>
          <w:bCs/>
          <w:color w:val="auto"/>
          <w:sz w:val="24"/>
          <w:highlight w:val="none"/>
        </w:rPr>
        <w:t>商务标得分。</w:t>
      </w:r>
    </w:p>
    <w:p w14:paraId="7E48C779">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（五）评标委员会按综合得分高低顺序排列，综合得分</w:t>
      </w:r>
      <w:r>
        <w:rPr>
          <w:rFonts w:hint="eastAsia" w:ascii="宋体" w:hAnsi="宋体"/>
          <w:bCs/>
          <w:color w:val="auto"/>
          <w:sz w:val="24"/>
          <w:highlight w:val="none"/>
          <w:lang w:val="en-US" w:eastAsia="zh-CN"/>
        </w:rPr>
        <w:t>第一</w:t>
      </w:r>
      <w:r>
        <w:rPr>
          <w:rFonts w:hint="eastAsia" w:ascii="宋体" w:hAnsi="宋体"/>
          <w:bCs/>
          <w:color w:val="auto"/>
          <w:sz w:val="24"/>
          <w:highlight w:val="none"/>
        </w:rPr>
        <w:t>名投标</w:t>
      </w:r>
      <w:r>
        <w:rPr>
          <w:rFonts w:hint="eastAsia" w:ascii="宋体" w:hAnsi="宋体"/>
          <w:bCs/>
          <w:color w:val="auto"/>
          <w:sz w:val="24"/>
          <w:highlight w:val="none"/>
          <w:lang w:eastAsia="zh-CN"/>
        </w:rPr>
        <w:t>人</w:t>
      </w:r>
      <w:r>
        <w:rPr>
          <w:rFonts w:hint="eastAsia" w:ascii="宋体" w:hAnsi="宋体"/>
          <w:bCs/>
          <w:color w:val="auto"/>
          <w:sz w:val="24"/>
          <w:highlight w:val="none"/>
        </w:rPr>
        <w:t>作为第一中标候选人，并提交评标报告。若出现总得分相同时，按技术资信标得分由高到低顺序排列；若以上均相同的，则</w:t>
      </w:r>
      <w:r>
        <w:rPr>
          <w:rFonts w:hint="eastAsia" w:ascii="宋体" w:hAnsi="宋体"/>
          <w:bCs/>
          <w:color w:val="auto"/>
          <w:sz w:val="24"/>
          <w:highlight w:val="none"/>
          <w:lang w:val="en-US" w:eastAsia="zh-CN"/>
        </w:rPr>
        <w:t>招标人</w:t>
      </w:r>
      <w:r>
        <w:rPr>
          <w:rFonts w:hint="eastAsia" w:ascii="宋体" w:hAnsi="宋体"/>
          <w:bCs/>
          <w:color w:val="auto"/>
          <w:sz w:val="24"/>
          <w:highlight w:val="none"/>
        </w:rPr>
        <w:t>抽签确定。</w:t>
      </w:r>
    </w:p>
    <w:p w14:paraId="072EE919">
      <w:pPr>
        <w:autoSpaceDE w:val="0"/>
        <w:autoSpaceDN w:val="0"/>
        <w:adjustRightInd w:val="0"/>
        <w:spacing w:line="360" w:lineRule="auto"/>
        <w:jc w:val="center"/>
        <w:textAlignment w:val="baseline"/>
        <w:rPr>
          <w:rFonts w:ascii="宋体" w:hAnsi="宋体" w:cs="宋体"/>
          <w:b/>
          <w:bCs/>
          <w:snapToGrid w:val="0"/>
          <w:color w:val="auto"/>
          <w:sz w:val="44"/>
          <w:highlight w:val="none"/>
        </w:rPr>
      </w:pPr>
      <w:r>
        <w:rPr>
          <w:rFonts w:hint="eastAsia" w:ascii="宋体" w:hAnsi="宋体" w:cs="宋体"/>
          <w:b/>
          <w:bCs/>
          <w:snapToGrid w:val="0"/>
          <w:color w:val="auto"/>
          <w:sz w:val="44"/>
          <w:highlight w:val="none"/>
        </w:rPr>
        <w:br w:type="page"/>
      </w:r>
      <w:r>
        <w:rPr>
          <w:rFonts w:hint="eastAsia" w:ascii="宋体" w:hAnsi="宋体" w:cs="宋体"/>
          <w:b/>
          <w:bCs/>
          <w:snapToGrid w:val="0"/>
          <w:color w:val="auto"/>
          <w:sz w:val="44"/>
          <w:highlight w:val="none"/>
        </w:rPr>
        <w:t>第五章 合同主要条款</w:t>
      </w:r>
    </w:p>
    <w:p w14:paraId="46D62F2D">
      <w:pPr>
        <w:snapToGrid w:val="0"/>
        <w:jc w:val="center"/>
        <w:rPr>
          <w:rFonts w:hint="eastAsia" w:ascii="宋体" w:hAnsi="宋体" w:eastAsia="宋体" w:cs="宋体"/>
          <w:b/>
          <w:color w:val="000000"/>
          <w:sz w:val="24"/>
          <w:szCs w:val="24"/>
          <w:highlight w:val="none"/>
        </w:rPr>
      </w:pPr>
      <w:bookmarkStart w:id="31" w:name="_Toc239477934"/>
      <w:bookmarkStart w:id="32" w:name="_Toc267580969"/>
      <w:r>
        <w:rPr>
          <w:rFonts w:hint="eastAsia" w:ascii="宋体" w:hAnsi="宋体" w:eastAsia="宋体" w:cs="宋体"/>
          <w:color w:val="000000"/>
          <w:sz w:val="24"/>
          <w:szCs w:val="24"/>
          <w:highlight w:val="none"/>
        </w:rPr>
        <w:t>（本合同为合同样稿，最终稿由双方协商后确定）</w:t>
      </w:r>
    </w:p>
    <w:p w14:paraId="513AC1E4">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甲方：</w:t>
      </w:r>
    </w:p>
    <w:p w14:paraId="49D3B5C7">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乙方：</w:t>
      </w:r>
    </w:p>
    <w:p w14:paraId="480B158E">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 xml:space="preserve">    </w:t>
      </w:r>
      <w:r>
        <w:rPr>
          <w:rFonts w:hint="eastAsia" w:ascii="宋体" w:hAnsi="宋体" w:eastAsia="宋体" w:cs="宋体"/>
          <w:color w:val="000000"/>
          <w:kern w:val="0"/>
          <w:sz w:val="24"/>
          <w:szCs w:val="24"/>
          <w:highlight w:val="none"/>
        </w:rPr>
        <w:t>甲、乙双方根据</w:t>
      </w:r>
      <w:bookmarkStart w:id="33" w:name="OLE_LINK31"/>
      <w:r>
        <w:rPr>
          <w:rFonts w:hint="eastAsia" w:ascii="宋体" w:hAnsi="宋体" w:eastAsia="宋体" w:cs="宋体"/>
          <w:color w:val="auto"/>
          <w:kern w:val="0"/>
          <w:sz w:val="24"/>
          <w:szCs w:val="24"/>
          <w:highlight w:val="none"/>
          <w:u w:val="single"/>
          <w:lang w:val="en-US" w:eastAsia="zh-CN"/>
        </w:rPr>
        <w:t>台州</w:t>
      </w:r>
      <w:r>
        <w:rPr>
          <w:rFonts w:hint="eastAsia" w:ascii="宋体" w:hAnsi="宋体" w:eastAsia="宋体" w:cs="宋体"/>
          <w:color w:val="auto"/>
          <w:kern w:val="0"/>
          <w:sz w:val="24"/>
          <w:szCs w:val="24"/>
          <w:highlight w:val="none"/>
          <w:u w:val="single"/>
        </w:rPr>
        <w:t>国际博览中心水电气接驳（含维保）服务商采购项目</w:t>
      </w:r>
      <w:bookmarkEnd w:id="33"/>
      <w:r>
        <w:rPr>
          <w:rFonts w:hint="eastAsia" w:ascii="宋体" w:hAnsi="宋体" w:eastAsia="宋体" w:cs="宋体"/>
          <w:color w:val="000000"/>
          <w:kern w:val="0"/>
          <w:sz w:val="24"/>
          <w:szCs w:val="24"/>
          <w:highlight w:val="none"/>
        </w:rPr>
        <w:t>的公开招标结果，签署本合同。</w:t>
      </w:r>
    </w:p>
    <w:p w14:paraId="06FF366A">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w:t>
      </w:r>
      <w:bookmarkStart w:id="34" w:name="OLE_LINK12"/>
      <w:r>
        <w:rPr>
          <w:rFonts w:hint="eastAsia" w:ascii="宋体" w:hAnsi="宋体" w:eastAsia="宋体" w:cs="宋体"/>
          <w:b/>
          <w:color w:val="000000"/>
          <w:kern w:val="0"/>
          <w:sz w:val="24"/>
          <w:szCs w:val="24"/>
          <w:highlight w:val="none"/>
        </w:rPr>
        <w:t>服务内容与要求</w:t>
      </w:r>
      <w:bookmarkEnd w:id="34"/>
    </w:p>
    <w:p w14:paraId="20B6BDCE">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1.1主要服务内容及要求：</w:t>
      </w:r>
    </w:p>
    <w:p w14:paraId="20231A58">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1.1.1乙方应负责水、电、气接驳服务所需的所有设施设备包括配电箱（含配套电缆）、水管、气管及相关附件的采购，所配备的水、电、气接驳设施设备须充足，以满足台州国际博览中心满馆运营需求。相关产品应当符合国家强制认证标准且为国家质监部门认定合格，其中配电箱应当符合IEC/EN/GB标准，室外电箱防水等级应当达到IP65，每个配电箱仅允许配置一路进线开关且开关配置应当匹配相应电箱的额定性能要求，开关应当符合 IEC/EN标准；配套电缆应当符合IEC/EN/GB标准的铜芯软电缆，原则上一路出线仅允许使用一根电缆，在未得到甲方许可的情况下不允许两根或多根电缆拼接，电缆护套应当完好、无破皮；气管、接头和气阀应当符合GB标准，压力等级不低于10公斤；临时租赁的空压机应当符合国家规定，证照齐全，操作、维护人员持证上岗；水管、接头和水阀应当符合GB标准，压力等级不低于4公斤；其余附件及配件均应当符合GB标准。</w:t>
      </w:r>
    </w:p>
    <w:p w14:paraId="5E78DD07">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1.1.2乙方应在甲方规定的送水、电、气时间之前，从展厅展位箱（或指定接驳点）引出水、电、气源至指定位置，所有展会展台（或指定位置）配套电箱、水管、气管及相关配件均已达到使用条件，并确保无其他单位擅自接入甲方的展位箱或水、电、气接驳点；乙方应确保展厅展位箱（或指定接驳点）设备设施完好，无人为损坏；乙方应确保所有接驳点连接牢固，无脱落或虚联；乙方应确保所有线缆或管路通道采取安全可靠的保护措施并张贴警示标记。</w:t>
      </w:r>
    </w:p>
    <w:p w14:paraId="72014634">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1.1.3乙方应负责在展前协调会对主场搭建水、电、气接驳提出的问题进行答疑；负责展会开展前所有用水、电、气图纸审核，将不符合施工要求的图纸以整改单的形式统一汇总到主场搭建，让其督促整改。</w:t>
      </w:r>
    </w:p>
    <w:p w14:paraId="78B15738">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1.1.4乙方应在甲方规定的时间内，完成所有展会展台（或指定位置）的送（停）水、电、气操作。送电时对电箱进行检查，将不符合送电的情况以整改单的形式统一汇总到主场搭建，让其督促整改。</w:t>
      </w:r>
    </w:p>
    <w:p w14:paraId="7B57D53A">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1.1.5乙方应承担展会期间展馆配水、电、气设备设施（含展位箱、落地柜及插座箱）的现场管理，设专人负责巡检及抽验，杜绝偷水、电、气及其他违章或违规行为，确保现场用水、电、气安全。</w:t>
      </w:r>
    </w:p>
    <w:p w14:paraId="155F4E43">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1.1.6乙方应参与或负责展会期间展馆配水、电、气设备设施的状态确认，包含但不限于以下两种情况：1. 甲方与主办方在场地交接时，乙方需配合甲方对展厅整体状态做确认；2. 乙方在正式送（停）水、电、气前应进行自检，对搭建方的水、电、气回路进行验收。</w:t>
      </w:r>
    </w:p>
    <w:p w14:paraId="4E95C5AE">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1.1.7乙方应在展会现场设专人驻点，按展会规模合理安排工作服务人员，所有工作人员须严格执行各项施工管理规定并统一着装，并持有效特种作业操作证，且报甲方备案。技术员配备不少于1人/展馆，会议及活动期间须配备技术员不少于2人/场，客户现场临时增加水、电、气需求，响应时间不得超过30分钟。</w:t>
      </w:r>
    </w:p>
    <w:p w14:paraId="320DCDFD">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1.1.8乙方应负责展会期间展馆配水、电、气的应急响应，一旦发现水、电、气异常或接到通知，应立即响应；如暂时无法解决，应立即启动预案，采取防护措施，并通知招标人，确保开展期间所有展会展台用水、电、气无失控，无重大事故。</w:t>
      </w:r>
    </w:p>
    <w:p w14:paraId="056A3C39">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1.1.9所有展馆配水、电、气服务所需的设备设施、物资、工具、车辆等的采购、租赁及运输等均由乙方自行解决，与甲方无关；乙方应定期对重要设备设施进行检测，及时维修、更换、淘汰故障设备设施。</w:t>
      </w:r>
    </w:p>
    <w:p w14:paraId="3DC11AFB">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1.1.10乙方应响应展会主办方提出的其他展务配套服务用电需求。</w:t>
      </w:r>
    </w:p>
    <w:p w14:paraId="1611BEAB">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1.1.11乙方应负责免费为甲方提供</w:t>
      </w:r>
      <w:r>
        <w:rPr>
          <w:rFonts w:hint="eastAsia" w:ascii="宋体" w:hAnsi="宋体" w:cs="宋体"/>
          <w:sz w:val="24"/>
          <w:szCs w:val="24"/>
          <w:highlight w:val="none"/>
          <w:lang w:eastAsia="zh-CN"/>
        </w:rPr>
        <w:t>每年不少于一次</w:t>
      </w:r>
      <w:r>
        <w:rPr>
          <w:rFonts w:hint="eastAsia" w:ascii="宋体" w:hAnsi="宋体" w:cs="宋体"/>
          <w:sz w:val="24"/>
          <w:szCs w:val="24"/>
          <w:highlight w:val="none"/>
          <w:lang w:val="en-US" w:eastAsia="zh-CN"/>
        </w:rPr>
        <w:t>馆沟维护保养、包括但不限于现场餐饮、设备等临时用水、电、气接驳等服务，涉及易损耗材及更换材料需采购产生费用的维护项目需递交申请，盖章确认费用后再予以实施。</w:t>
      </w:r>
    </w:p>
    <w:p w14:paraId="17FE8E8F">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1.1.12在服务期内，乙方应向甲方提供处于有效期内的人身、财产保险保单复印件，保单的保险期间至少需涵盖在合同履行期限，保单的范围涵盖乙方所聘人员所造成的人员伤亡、财产损失、第三人安全事故，及因乙方电箱故障造成甲方和甲方客户的人员伤亡及财产损失事故。其中，人身险每人单次赔偿限额不得低于浙江省现行工伤赔偿水平，财产险单次赔偿限额不得低于500万元。</w:t>
      </w:r>
    </w:p>
    <w:p w14:paraId="7C7A30AE">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1.2乙方应完成</w:t>
      </w:r>
      <w:r>
        <w:rPr>
          <w:rFonts w:hint="eastAsia" w:ascii="宋体" w:hAnsi="宋体" w:eastAsia="宋体" w:cs="宋体"/>
          <w:color w:val="000000"/>
          <w:kern w:val="0"/>
          <w:sz w:val="24"/>
          <w:szCs w:val="24"/>
          <w:highlight w:val="none"/>
          <w:lang w:val="en-US" w:eastAsia="zh-CN"/>
        </w:rPr>
        <w:t>台州</w:t>
      </w:r>
      <w:r>
        <w:rPr>
          <w:rFonts w:hint="eastAsia" w:ascii="宋体" w:hAnsi="宋体" w:eastAsia="宋体" w:cs="宋体"/>
          <w:color w:val="auto"/>
          <w:kern w:val="0"/>
          <w:sz w:val="24"/>
          <w:szCs w:val="24"/>
          <w:highlight w:val="none"/>
        </w:rPr>
        <w:t>国际博览中心水电气接驳（含维保）服务商采购项目和</w:t>
      </w:r>
      <w:r>
        <w:rPr>
          <w:rFonts w:hint="eastAsia" w:ascii="宋体" w:hAnsi="宋体" w:eastAsia="宋体" w:cs="宋体"/>
          <w:color w:val="000000"/>
          <w:kern w:val="0"/>
          <w:sz w:val="24"/>
          <w:szCs w:val="24"/>
          <w:highlight w:val="none"/>
        </w:rPr>
        <w:t>甲方交办的其他工作。</w:t>
      </w:r>
    </w:p>
    <w:p w14:paraId="469C99E0">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1.3乙方的提供服务的具体内容和要求应与本项目采购文件或乙方对本项目的投标文件中的有关内容相一致：</w:t>
      </w:r>
    </w:p>
    <w:p w14:paraId="65CBFB52">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乙方在为甲方服务期间应做到安全文明，如有不当而引起的一切责任均由乙方承担。</w:t>
      </w:r>
    </w:p>
    <w:p w14:paraId="4F88FB34">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乙方应明确承诺服务的各项内容和措施，提供详细的服务人员配备、联系人、联系电话等有关资料。</w:t>
      </w:r>
    </w:p>
    <w:p w14:paraId="487895BB">
      <w:pPr>
        <w:spacing w:after="156" w:afterLines="50" w:line="360" w:lineRule="auto"/>
        <w:rPr>
          <w:rFonts w:hint="default"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rPr>
        <w:t>二、</w:t>
      </w:r>
      <w:r>
        <w:rPr>
          <w:rFonts w:hint="eastAsia" w:ascii="宋体" w:hAnsi="宋体" w:eastAsia="宋体" w:cs="宋体"/>
          <w:b/>
          <w:color w:val="000000"/>
          <w:kern w:val="0"/>
          <w:sz w:val="24"/>
          <w:szCs w:val="24"/>
          <w:highlight w:val="none"/>
          <w:lang w:val="en-US" w:eastAsia="zh-CN"/>
        </w:rPr>
        <w:t>合同结算率</w:t>
      </w:r>
    </w:p>
    <w:p w14:paraId="273C02FB">
      <w:pPr>
        <w:pStyle w:val="23"/>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本项目合同结算率为</w:t>
      </w:r>
      <w:r>
        <w:rPr>
          <w:rFonts w:hint="eastAsia" w:ascii="宋体" w:hAnsi="宋体" w:eastAsia="宋体" w:cs="宋体"/>
          <w:color w:val="000000"/>
          <w:kern w:val="0"/>
          <w:sz w:val="24"/>
          <w:szCs w:val="24"/>
          <w:highlight w:val="none"/>
          <w:u w:val="single"/>
          <w:lang w:val="en-US" w:eastAsia="zh-CN" w:bidi="ar-SA"/>
        </w:rPr>
        <w:t xml:space="preserve">    </w:t>
      </w:r>
      <w:r>
        <w:rPr>
          <w:rFonts w:hint="eastAsia" w:ascii="宋体" w:hAnsi="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en-US" w:eastAsia="zh-CN" w:bidi="ar-SA"/>
        </w:rPr>
        <w:t>%。</w:t>
      </w:r>
    </w:p>
    <w:p w14:paraId="0AD90567">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三</w:t>
      </w:r>
      <w:r>
        <w:rPr>
          <w:rFonts w:hint="eastAsia" w:ascii="宋体" w:hAnsi="宋体" w:eastAsia="宋体" w:cs="宋体"/>
          <w:b/>
          <w:color w:val="000000"/>
          <w:kern w:val="0"/>
          <w:sz w:val="24"/>
          <w:szCs w:val="24"/>
          <w:highlight w:val="none"/>
        </w:rPr>
        <w:t>、履约保证金</w:t>
      </w:r>
    </w:p>
    <w:p w14:paraId="7953A4DE">
      <w:pPr>
        <w:spacing w:after="156" w:afterLines="50" w:line="360" w:lineRule="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.1签订采购合同前，</w:t>
      </w:r>
      <w:r>
        <w:rPr>
          <w:rFonts w:hint="eastAsia" w:ascii="宋体" w:hAnsi="宋体" w:cs="宋体"/>
          <w:color w:val="000000"/>
          <w:kern w:val="0"/>
          <w:sz w:val="24"/>
          <w:szCs w:val="24"/>
          <w:highlight w:val="none"/>
          <w:lang w:val="en-US" w:eastAsia="zh-CN"/>
        </w:rPr>
        <w:t>乙方</w:t>
      </w:r>
      <w:r>
        <w:rPr>
          <w:rFonts w:hint="eastAsia" w:ascii="宋体" w:hAnsi="宋体" w:eastAsia="宋体" w:cs="宋体"/>
          <w:color w:val="000000"/>
          <w:kern w:val="0"/>
          <w:sz w:val="24"/>
          <w:szCs w:val="24"/>
          <w:highlight w:val="none"/>
        </w:rPr>
        <w:t>递交履约保证金。履约保证金为</w:t>
      </w:r>
      <w:r>
        <w:rPr>
          <w:rFonts w:hint="eastAsia" w:ascii="宋体" w:hAnsi="宋体" w:cs="宋体"/>
          <w:color w:val="000000"/>
          <w:kern w:val="0"/>
          <w:sz w:val="24"/>
          <w:szCs w:val="24"/>
          <w:highlight w:val="none"/>
          <w:u w:val="single"/>
          <w:lang w:val="en-US" w:eastAsia="zh-CN"/>
        </w:rPr>
        <w:t>1</w:t>
      </w:r>
      <w:r>
        <w:rPr>
          <w:rFonts w:hint="eastAsia" w:ascii="宋体" w:hAnsi="宋体" w:eastAsia="宋体" w:cs="宋体"/>
          <w:color w:val="000000"/>
          <w:kern w:val="0"/>
          <w:sz w:val="24"/>
          <w:szCs w:val="24"/>
          <w:highlight w:val="none"/>
          <w:u w:val="single"/>
        </w:rPr>
        <w:t>0000</w:t>
      </w:r>
      <w:r>
        <w:rPr>
          <w:rFonts w:hint="eastAsia" w:ascii="宋体" w:hAnsi="宋体" w:eastAsia="宋体" w:cs="宋体"/>
          <w:color w:val="000000"/>
          <w:kern w:val="0"/>
          <w:sz w:val="24"/>
          <w:szCs w:val="24"/>
          <w:highlight w:val="none"/>
        </w:rPr>
        <w:t>元</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履约保证金待所有</w:t>
      </w:r>
      <w:r>
        <w:rPr>
          <w:rFonts w:hint="eastAsia" w:ascii="宋体" w:hAnsi="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合格</w:t>
      </w:r>
      <w:r>
        <w:rPr>
          <w:rFonts w:hint="eastAsia" w:ascii="宋体" w:hAnsi="宋体" w:cs="宋体"/>
          <w:color w:val="000000"/>
          <w:kern w:val="0"/>
          <w:sz w:val="24"/>
          <w:szCs w:val="24"/>
          <w:highlight w:val="none"/>
          <w:lang w:val="en-US" w:eastAsia="zh-CN"/>
        </w:rPr>
        <w:t>完成</w:t>
      </w:r>
      <w:r>
        <w:rPr>
          <w:rFonts w:hint="eastAsia" w:ascii="宋体" w:hAnsi="宋体" w:eastAsia="宋体" w:cs="宋体"/>
          <w:color w:val="000000"/>
          <w:kern w:val="0"/>
          <w:sz w:val="24"/>
          <w:szCs w:val="24"/>
          <w:highlight w:val="none"/>
        </w:rPr>
        <w:t>后且无违约情况的5日内无息退还(提交方式为转账</w:t>
      </w:r>
      <w:r>
        <w:rPr>
          <w:rFonts w:hint="eastAsia" w:ascii="宋体" w:hAnsi="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现金或保函形式)</w:t>
      </w:r>
      <w:r>
        <w:rPr>
          <w:rFonts w:hint="eastAsia" w:ascii="宋体" w:hAnsi="宋体" w:cs="宋体"/>
          <w:color w:val="000000"/>
          <w:kern w:val="0"/>
          <w:sz w:val="24"/>
          <w:szCs w:val="24"/>
          <w:highlight w:val="none"/>
          <w:lang w:eastAsia="zh-CN"/>
        </w:rPr>
        <w:t>。</w:t>
      </w:r>
    </w:p>
    <w:p w14:paraId="5CFFA018">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甲方在任何时候都有权从履约保证金中扣除因乙方违约而导致损失的金额或违约金。乙方应在接到扣除履约保证金通知后一周内补足所扣差额，以保证服务期间履约保证金的完整。</w:t>
      </w:r>
    </w:p>
    <w:p w14:paraId="6FC2E02B">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如果乙方在服务期内没有违约行为的，甲方在合同期满后一个月内全额无息退还履约保证金。</w:t>
      </w:r>
    </w:p>
    <w:p w14:paraId="5E6EB738">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四</w:t>
      </w:r>
      <w:r>
        <w:rPr>
          <w:rFonts w:hint="eastAsia" w:ascii="宋体" w:hAnsi="宋体" w:eastAsia="宋体" w:cs="宋体"/>
          <w:b/>
          <w:color w:val="000000"/>
          <w:kern w:val="0"/>
          <w:sz w:val="24"/>
          <w:szCs w:val="24"/>
          <w:highlight w:val="none"/>
        </w:rPr>
        <w:t>、转包或分包</w:t>
      </w:r>
    </w:p>
    <w:p w14:paraId="15D29347">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.1 本合同范围的服务项目，应由乙方直接服务，不得转让他人。</w:t>
      </w:r>
    </w:p>
    <w:p w14:paraId="61A545D3">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2 如有转让和行为，甲方有权给予终止合同</w:t>
      </w:r>
      <w:bookmarkStart w:id="35" w:name="OLE_LINK8"/>
      <w:r>
        <w:rPr>
          <w:rFonts w:hint="eastAsia" w:ascii="宋体" w:hAnsi="宋体" w:eastAsia="宋体" w:cs="宋体"/>
          <w:color w:val="000000"/>
          <w:kern w:val="0"/>
          <w:sz w:val="24"/>
          <w:szCs w:val="24"/>
          <w:highlight w:val="none"/>
        </w:rPr>
        <w:t>。</w:t>
      </w:r>
      <w:bookmarkEnd w:id="35"/>
    </w:p>
    <w:p w14:paraId="71380655">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五</w:t>
      </w:r>
      <w:r>
        <w:rPr>
          <w:rFonts w:hint="eastAsia" w:ascii="宋体" w:hAnsi="宋体" w:eastAsia="宋体" w:cs="宋体"/>
          <w:b/>
          <w:color w:val="000000"/>
          <w:kern w:val="0"/>
          <w:sz w:val="24"/>
          <w:szCs w:val="24"/>
          <w:highlight w:val="none"/>
        </w:rPr>
        <w:t>、合同履行时间、履行方式及履行地点</w:t>
      </w:r>
    </w:p>
    <w:p w14:paraId="7F5E782C">
      <w:pPr>
        <w:spacing w:after="156" w:afterLines="50" w:line="360" w:lineRule="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1 履行时间：</w:t>
      </w:r>
      <w:r>
        <w:rPr>
          <w:rFonts w:hint="eastAsia" w:ascii="宋体" w:hAnsi="宋体" w:eastAsia="宋体" w:cs="宋体"/>
          <w:sz w:val="24"/>
          <w:szCs w:val="24"/>
          <w:highlight w:val="none"/>
          <w:lang w:eastAsia="zh-CN"/>
        </w:rPr>
        <w:t>本项目服务期</w:t>
      </w:r>
      <w:r>
        <w:rPr>
          <w:rFonts w:hint="eastAsia" w:ascii="宋体" w:hAnsi="宋体" w:cs="宋体"/>
          <w:sz w:val="24"/>
          <w:szCs w:val="24"/>
          <w:highlight w:val="none"/>
          <w:lang w:val="en-US" w:eastAsia="zh-CN"/>
        </w:rPr>
        <w:t>3年，</w:t>
      </w:r>
      <w:r>
        <w:rPr>
          <w:rFonts w:hint="eastAsia" w:ascii="宋体" w:hAnsi="宋体" w:eastAsia="宋体" w:cs="宋体"/>
          <w:sz w:val="24"/>
          <w:szCs w:val="24"/>
          <w:highlight w:val="none"/>
          <w:lang w:eastAsia="zh-CN"/>
        </w:rPr>
        <w:t>采用“</w:t>
      </w:r>
      <w:r>
        <w:rPr>
          <w:rFonts w:hint="eastAsia" w:ascii="宋体" w:hAnsi="宋体" w:eastAsia="宋体" w:cs="宋体"/>
          <w:sz w:val="24"/>
          <w:szCs w:val="24"/>
          <w:highlight w:val="none"/>
          <w:lang w:val="en-US" w:eastAsia="zh-CN"/>
        </w:rPr>
        <w:t>1+1+1</w:t>
      </w:r>
      <w:r>
        <w:rPr>
          <w:rFonts w:hint="eastAsia" w:ascii="宋体" w:hAnsi="宋体" w:eastAsia="宋体" w:cs="宋体"/>
          <w:sz w:val="24"/>
          <w:szCs w:val="24"/>
          <w:highlight w:val="none"/>
          <w:lang w:eastAsia="zh-CN"/>
        </w:rPr>
        <w:t>”的模式，合同一年一签，首个服务</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rPr>
        <w:t>1年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自合同签订后</w:t>
      </w:r>
      <w:r>
        <w:rPr>
          <w:rFonts w:hint="eastAsia" w:ascii="宋体" w:hAnsi="宋体" w:eastAsia="宋体" w:cs="宋体"/>
          <w:sz w:val="24"/>
          <w:szCs w:val="24"/>
          <w:highlight w:val="none"/>
          <w:lang w:eastAsia="zh-CN"/>
        </w:rPr>
        <w:t>开始</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提供的服务达到</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的要求，合同期间没有严重违规行为</w:t>
      </w:r>
      <w:r>
        <w:rPr>
          <w:rFonts w:hint="eastAsia" w:ascii="宋体" w:hAnsi="宋体" w:eastAsia="宋体" w:cs="宋体"/>
          <w:sz w:val="24"/>
          <w:szCs w:val="24"/>
          <w:highlight w:val="none"/>
          <w:lang w:eastAsia="zh-CN"/>
        </w:rPr>
        <w:t>或安全事故</w:t>
      </w:r>
      <w:r>
        <w:rPr>
          <w:rFonts w:hint="eastAsia" w:ascii="宋体" w:hAnsi="宋体" w:eastAsia="宋体" w:cs="宋体"/>
          <w:sz w:val="24"/>
          <w:szCs w:val="24"/>
          <w:highlight w:val="none"/>
        </w:rPr>
        <w:t>的，合同</w:t>
      </w:r>
      <w:r>
        <w:rPr>
          <w:rFonts w:hint="eastAsia" w:ascii="宋体" w:hAnsi="宋体" w:cs="宋体"/>
          <w:sz w:val="24"/>
          <w:szCs w:val="24"/>
          <w:highlight w:val="none"/>
          <w:lang w:eastAsia="zh-CN"/>
        </w:rPr>
        <w:t>当年</w:t>
      </w:r>
      <w:r>
        <w:rPr>
          <w:rFonts w:hint="eastAsia" w:ascii="宋体" w:hAnsi="宋体" w:eastAsia="宋体" w:cs="宋体"/>
          <w:sz w:val="24"/>
          <w:szCs w:val="24"/>
          <w:highlight w:val="none"/>
        </w:rPr>
        <w:t>期满后，经双方协商同意可续</w:t>
      </w:r>
      <w:r>
        <w:rPr>
          <w:rFonts w:hint="eastAsia" w:ascii="宋体" w:hAnsi="宋体" w:eastAsia="宋体" w:cs="宋体"/>
          <w:sz w:val="24"/>
          <w:szCs w:val="24"/>
          <w:highlight w:val="none"/>
          <w:lang w:eastAsia="zh-CN"/>
        </w:rPr>
        <w:t>签下</w:t>
      </w:r>
      <w:r>
        <w:rPr>
          <w:rFonts w:hint="eastAsia" w:ascii="宋体" w:hAnsi="宋体" w:eastAsia="宋体" w:cs="宋体"/>
          <w:sz w:val="24"/>
          <w:szCs w:val="24"/>
          <w:highlight w:val="none"/>
        </w:rPr>
        <w:t>一年</w:t>
      </w:r>
      <w:r>
        <w:rPr>
          <w:rFonts w:hint="eastAsia" w:ascii="宋体" w:hAnsi="宋体" w:eastAsia="宋体" w:cs="宋体"/>
          <w:sz w:val="24"/>
          <w:szCs w:val="24"/>
          <w:highlight w:val="none"/>
          <w:lang w:eastAsia="zh-CN"/>
        </w:rPr>
        <w:t>度合同</w:t>
      </w:r>
      <w:r>
        <w:rPr>
          <w:rFonts w:hint="eastAsia" w:ascii="宋体" w:hAnsi="宋体" w:eastAsia="宋体" w:cs="宋体"/>
          <w:sz w:val="24"/>
          <w:szCs w:val="24"/>
          <w:highlight w:val="none"/>
          <w:lang w:val="en-US" w:eastAsia="zh-CN"/>
        </w:rPr>
        <w:t>，招标人有权根据业务发展情况决定是否续签合同</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合同最多续签</w:t>
      </w:r>
      <w:r>
        <w:rPr>
          <w:rFonts w:hint="eastAsia" w:ascii="宋体" w:hAnsi="宋体" w:eastAsia="宋体" w:cs="宋体"/>
          <w:sz w:val="24"/>
          <w:szCs w:val="24"/>
          <w:highlight w:val="none"/>
          <w:lang w:val="en-US" w:eastAsia="zh-CN"/>
        </w:rPr>
        <w:t>2次，每次不超过1年。</w:t>
      </w:r>
    </w:p>
    <w:p w14:paraId="21A9FCD4">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2 履行方式：</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4EA45452">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bCs/>
          <w:color w:val="000000"/>
          <w:kern w:val="0"/>
          <w:sz w:val="24"/>
          <w:szCs w:val="24"/>
          <w:highlight w:val="none"/>
          <w:lang w:val="en-US" w:eastAsia="zh-CN"/>
        </w:rPr>
        <w:t>5</w:t>
      </w:r>
      <w:r>
        <w:rPr>
          <w:rFonts w:hint="eastAsia" w:ascii="宋体" w:hAnsi="宋体" w:eastAsia="宋体" w:cs="宋体"/>
          <w:bCs/>
          <w:color w:val="000000"/>
          <w:kern w:val="0"/>
          <w:sz w:val="24"/>
          <w:szCs w:val="24"/>
          <w:highlight w:val="none"/>
        </w:rPr>
        <w:t xml:space="preserve">.3 </w:t>
      </w:r>
      <w:r>
        <w:rPr>
          <w:rFonts w:hint="eastAsia" w:ascii="宋体" w:hAnsi="宋体" w:eastAsia="宋体" w:cs="宋体"/>
          <w:color w:val="000000"/>
          <w:kern w:val="0"/>
          <w:sz w:val="24"/>
          <w:szCs w:val="24"/>
          <w:highlight w:val="none"/>
        </w:rPr>
        <w:t>履行地点</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767F4032">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六</w:t>
      </w:r>
      <w:r>
        <w:rPr>
          <w:rFonts w:hint="eastAsia" w:ascii="宋体" w:hAnsi="宋体" w:eastAsia="宋体" w:cs="宋体"/>
          <w:b/>
          <w:color w:val="000000"/>
          <w:kern w:val="0"/>
          <w:sz w:val="24"/>
          <w:szCs w:val="24"/>
          <w:highlight w:val="none"/>
        </w:rPr>
        <w:t>、</w:t>
      </w:r>
      <w:r>
        <w:rPr>
          <w:rFonts w:hint="eastAsia" w:ascii="宋体" w:hAnsi="宋体" w:eastAsia="宋体" w:cs="宋体"/>
          <w:b/>
          <w:bCs/>
          <w:color w:val="000000"/>
          <w:kern w:val="0"/>
          <w:sz w:val="24"/>
          <w:szCs w:val="24"/>
          <w:highlight w:val="none"/>
        </w:rPr>
        <w:t>付款方式</w:t>
      </w:r>
    </w:p>
    <w:p w14:paraId="09C0C421">
      <w:pPr>
        <w:spacing w:after="156" w:afterLines="5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kern w:val="0"/>
          <w:sz w:val="24"/>
          <w:szCs w:val="24"/>
          <w:highlight w:val="none"/>
        </w:rPr>
        <w:t>甲乙双方协定按月结方式付款。</w:t>
      </w:r>
      <w:r>
        <w:rPr>
          <w:rFonts w:hint="eastAsia" w:ascii="宋体" w:hAnsi="宋体" w:eastAsia="宋体" w:cs="宋体"/>
          <w:sz w:val="24"/>
          <w:szCs w:val="24"/>
          <w:highlight w:val="none"/>
          <w:lang w:val="en-US" w:eastAsia="zh-CN"/>
        </w:rPr>
        <w:t>费用由</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与主办方结算，在收到主办方所有费用后</w:t>
      </w:r>
      <w:r>
        <w:rPr>
          <w:rFonts w:hint="eastAsia" w:ascii="宋体" w:hAnsi="宋体" w:cs="宋体"/>
          <w:sz w:val="24"/>
          <w:szCs w:val="24"/>
          <w:highlight w:val="none"/>
          <w:lang w:val="en-US" w:eastAsia="zh-CN"/>
        </w:rPr>
        <w:t>30天内</w:t>
      </w:r>
      <w:r>
        <w:rPr>
          <w:rFonts w:hint="eastAsia" w:ascii="宋体" w:hAnsi="宋体" w:eastAsia="宋体" w:cs="宋体"/>
          <w:sz w:val="24"/>
          <w:szCs w:val="24"/>
          <w:highlight w:val="none"/>
          <w:lang w:val="en-US" w:eastAsia="zh-CN"/>
        </w:rPr>
        <w:t>，按本次中标</w:t>
      </w:r>
      <w:r>
        <w:rPr>
          <w:rFonts w:hint="eastAsia" w:ascii="宋体" w:hAnsi="宋体" w:cs="宋体"/>
          <w:sz w:val="24"/>
          <w:szCs w:val="24"/>
          <w:highlight w:val="none"/>
          <w:lang w:val="en-US" w:eastAsia="zh-CN"/>
        </w:rPr>
        <w:t>结算率（    %）</w:t>
      </w:r>
      <w:r>
        <w:rPr>
          <w:rFonts w:hint="eastAsia" w:ascii="宋体" w:hAnsi="宋体" w:eastAsia="宋体" w:cs="宋体"/>
          <w:sz w:val="24"/>
          <w:szCs w:val="24"/>
          <w:highlight w:val="none"/>
          <w:lang w:val="en-US" w:eastAsia="zh-CN"/>
        </w:rPr>
        <w:t>支付给</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需开具足额发票给</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w:t>
      </w:r>
    </w:p>
    <w:p w14:paraId="0FF08CCB">
      <w:pPr>
        <w:spacing w:after="156" w:afterLines="50" w:line="360" w:lineRule="auto"/>
        <w:ind w:firstLine="480" w:firstLineChars="200"/>
        <w:rPr>
          <w:rFonts w:hint="eastAsia" w:ascii="宋体" w:hAnsi="宋体" w:eastAsia="宋体" w:cs="宋体"/>
          <w:bCs/>
          <w:kern w:val="0"/>
          <w:sz w:val="24"/>
          <w:szCs w:val="24"/>
          <w:highlight w:val="none"/>
        </w:rPr>
      </w:pPr>
      <w:r>
        <w:rPr>
          <w:rFonts w:hint="eastAsia" w:ascii="宋体" w:hAnsi="宋体" w:cs="宋体"/>
          <w:sz w:val="24"/>
          <w:szCs w:val="24"/>
          <w:highlight w:val="none"/>
          <w:lang w:val="en-US" w:eastAsia="zh-CN"/>
        </w:rPr>
        <w:t>原展沟配电箱所涉及到的维修、保养的更换材料根据乙方上报给甲方实际情况，每半年支付一次。</w:t>
      </w:r>
    </w:p>
    <w:p w14:paraId="17F804D1">
      <w:pPr>
        <w:widowControl w:val="0"/>
        <w:autoSpaceDE w:val="0"/>
        <w:spacing w:before="100" w:beforeAutospacing="1" w:after="0" w:line="360" w:lineRule="auto"/>
        <w:ind w:firstLine="42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结算依据：展前阶段乙方根据甲方下达的工作任务单在规定时间内完成工作任务并上报甲方，甲方及需求方验收合格；展会阶段乙方根据甲方下达的最新工作任务单（如有）进行加急施工；撤展阶段，乙方依据手上接到的工作任务单给甲方进行最终审核，审核完的结算单双方签字做为结算依据。</w:t>
      </w:r>
    </w:p>
    <w:p w14:paraId="5CC56914">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七</w:t>
      </w:r>
      <w:r>
        <w:rPr>
          <w:rFonts w:hint="eastAsia" w:ascii="宋体" w:hAnsi="宋体" w:eastAsia="宋体" w:cs="宋体"/>
          <w:b/>
          <w:color w:val="000000"/>
          <w:kern w:val="0"/>
          <w:sz w:val="24"/>
          <w:szCs w:val="24"/>
          <w:highlight w:val="none"/>
        </w:rPr>
        <w:t>、税费</w:t>
      </w:r>
    </w:p>
    <w:p w14:paraId="0A60AFF0">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.1 本合同执行中相关的一切税费均由乙方负担。</w:t>
      </w:r>
    </w:p>
    <w:p w14:paraId="5D63F017">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八</w:t>
      </w:r>
      <w:r>
        <w:rPr>
          <w:rFonts w:hint="eastAsia" w:ascii="宋体" w:hAnsi="宋体" w:eastAsia="宋体" w:cs="宋体"/>
          <w:b/>
          <w:color w:val="000000"/>
          <w:kern w:val="0"/>
          <w:sz w:val="24"/>
          <w:szCs w:val="24"/>
          <w:highlight w:val="none"/>
        </w:rPr>
        <w:t>、质量及安全责任</w:t>
      </w:r>
    </w:p>
    <w:p w14:paraId="7E1C7E9F">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.1 在服务期内，乙方应对出现的质量及安全问题负责处理解决并承担一切费用。</w:t>
      </w:r>
    </w:p>
    <w:p w14:paraId="2B3BF8E5">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九</w:t>
      </w:r>
      <w:r>
        <w:rPr>
          <w:rFonts w:hint="eastAsia" w:ascii="宋体" w:hAnsi="宋体" w:eastAsia="宋体" w:cs="宋体"/>
          <w:b/>
          <w:color w:val="000000"/>
          <w:kern w:val="0"/>
          <w:sz w:val="24"/>
          <w:szCs w:val="24"/>
          <w:highlight w:val="none"/>
        </w:rPr>
        <w:t>、违约责任</w:t>
      </w:r>
    </w:p>
    <w:p w14:paraId="678E277A">
      <w:pPr>
        <w:spacing w:after="156" w:afterLines="50" w:line="360" w:lineRule="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.1在合同有效期内，经甲乙双方协商一致，可变更本合同。</w:t>
      </w:r>
    </w:p>
    <w:p w14:paraId="530664C2">
      <w:pPr>
        <w:spacing w:after="156" w:afterLines="50" w:line="360" w:lineRule="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.2在合同有效期内单方提出终止合同的，相关违约费用由甲乙双方协商确定。</w:t>
      </w:r>
    </w:p>
    <w:p w14:paraId="113FE5AB">
      <w:pPr>
        <w:spacing w:after="156" w:afterLines="50" w:line="360" w:lineRule="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.3因甲方原因逾期支付人员服务费的，须向乙方支付每日千分之三的逾期付款违约金。甲方逾期三十天未支付的，乙方有权单方解除合同，并追究甲方的违约责任。</w:t>
      </w:r>
    </w:p>
    <w:p w14:paraId="495FB8DD">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 xml:space="preserve"> 乙方在合同期限内应按照甲方要求完成服务工作，如未达到甲方的服务标准，每发生一次，甲方有权要求乙方支付合同总价3%的违约金，累计三次以上，甲方有权终止合同，没收全部履约保证金，追回已付合同款，并就由此造成的损失向乙方提出索赔。</w:t>
      </w:r>
    </w:p>
    <w:p w14:paraId="026CA087">
      <w:pPr>
        <w:spacing w:after="156" w:afterLines="50" w:line="360" w:lineRule="auto"/>
        <w:rPr>
          <w:rFonts w:hint="default"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9.5 </w:t>
      </w:r>
      <w:r>
        <w:rPr>
          <w:rFonts w:hint="eastAsia" w:ascii="宋体" w:hAnsi="宋体" w:eastAsia="宋体" w:cs="宋体"/>
          <w:color w:val="000000"/>
          <w:kern w:val="0"/>
          <w:sz w:val="24"/>
          <w:szCs w:val="24"/>
          <w:highlight w:val="none"/>
          <w:lang w:val="en-US" w:eastAsia="zh-CN"/>
        </w:rPr>
        <w:t>在合同有效期内</w:t>
      </w:r>
      <w:r>
        <w:rPr>
          <w:rFonts w:hint="eastAsia" w:ascii="宋体" w:hAnsi="宋体" w:eastAsia="宋体" w:cs="宋体"/>
          <w:color w:val="000000"/>
          <w:kern w:val="0"/>
          <w:sz w:val="24"/>
          <w:szCs w:val="24"/>
          <w:highlight w:val="none"/>
        </w:rPr>
        <w:t>乙方</w:t>
      </w:r>
      <w:r>
        <w:rPr>
          <w:rFonts w:hint="eastAsia" w:ascii="宋体" w:hAnsi="宋体" w:eastAsia="宋体" w:cs="宋体"/>
          <w:color w:val="000000"/>
          <w:kern w:val="0"/>
          <w:sz w:val="24"/>
          <w:szCs w:val="24"/>
          <w:highlight w:val="none"/>
          <w:lang w:val="en-US" w:eastAsia="zh-CN"/>
        </w:rPr>
        <w:t>提出终止合同的，</w:t>
      </w:r>
      <w:r>
        <w:rPr>
          <w:rFonts w:hint="eastAsia" w:ascii="宋体" w:hAnsi="宋体" w:eastAsia="宋体" w:cs="宋体"/>
          <w:color w:val="000000"/>
          <w:kern w:val="0"/>
          <w:sz w:val="24"/>
          <w:szCs w:val="24"/>
          <w:highlight w:val="none"/>
        </w:rPr>
        <w:t>乙方需提前</w:t>
      </w:r>
      <w:r>
        <w:rPr>
          <w:rFonts w:hint="default" w:ascii="宋体" w:hAnsi="宋体" w:eastAsia="宋体" w:cs="宋体"/>
          <w:color w:val="000000"/>
          <w:kern w:val="0"/>
          <w:sz w:val="24"/>
          <w:szCs w:val="24"/>
          <w:highlight w:val="none"/>
        </w:rPr>
        <w:t>60天以书面形式提出终止合同，并提交退场计划（含设备移交清单、人员交接表及应急预案），经甲方审核同意后方可退出。</w:t>
      </w:r>
    </w:p>
    <w:p w14:paraId="27BEE0BE">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因乙方人员工作失职造成甲方损失，甲方有权追究直接责任人的行政、法律责任，造成的损失由乙方承担。因不可抗力或甲方自身原因造成的经济损失，乙方不承担责任。</w:t>
      </w:r>
    </w:p>
    <w:p w14:paraId="1CB084DB">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十</w:t>
      </w:r>
      <w:r>
        <w:rPr>
          <w:rFonts w:hint="eastAsia" w:ascii="宋体" w:hAnsi="宋体" w:eastAsia="宋体" w:cs="宋体"/>
          <w:b/>
          <w:color w:val="000000"/>
          <w:kern w:val="0"/>
          <w:sz w:val="24"/>
          <w:szCs w:val="24"/>
          <w:highlight w:val="none"/>
        </w:rPr>
        <w:t>、不可抗力事件处理</w:t>
      </w:r>
    </w:p>
    <w:p w14:paraId="650E4D29">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.1 在合同有效期内，任何一方因不可抗力事件导致不能履行合同，则合同履行期可延长，其延长期与不可抗力影响期相同。</w:t>
      </w:r>
    </w:p>
    <w:p w14:paraId="59C1AD67">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.2 不可抗力事件发生后，应立即通知对方，并寄送有关权威机构出具的证明。</w:t>
      </w:r>
    </w:p>
    <w:p w14:paraId="567B703E">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.3 不可抗力事件延续120天以上，双方应通过友好协商，确定是否继续履行合同。</w:t>
      </w:r>
    </w:p>
    <w:p w14:paraId="57F4D5EA">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十</w:t>
      </w:r>
      <w:r>
        <w:rPr>
          <w:rFonts w:hint="eastAsia" w:ascii="宋体" w:hAnsi="宋体" w:cs="宋体"/>
          <w:b/>
          <w:color w:val="000000"/>
          <w:kern w:val="0"/>
          <w:sz w:val="24"/>
          <w:szCs w:val="24"/>
          <w:highlight w:val="none"/>
          <w:lang w:val="en-US" w:eastAsia="zh-CN"/>
        </w:rPr>
        <w:t>一</w:t>
      </w:r>
      <w:r>
        <w:rPr>
          <w:rFonts w:hint="eastAsia" w:ascii="宋体" w:hAnsi="宋体" w:eastAsia="宋体" w:cs="宋体"/>
          <w:b/>
          <w:color w:val="000000"/>
          <w:kern w:val="0"/>
          <w:sz w:val="24"/>
          <w:szCs w:val="24"/>
          <w:highlight w:val="none"/>
        </w:rPr>
        <w:t>、诉讼</w:t>
      </w:r>
    </w:p>
    <w:p w14:paraId="242FFF0F">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.1 双方在执行合同中所发生的一切争议，如协商不成，可向甲方所在地的人民法院提起诉讼。</w:t>
      </w:r>
    </w:p>
    <w:p w14:paraId="3598B5F6">
      <w:pPr>
        <w:spacing w:after="156" w:afterLines="50" w:line="360" w:lineRule="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十</w:t>
      </w:r>
      <w:r>
        <w:rPr>
          <w:rFonts w:hint="eastAsia" w:ascii="宋体" w:hAnsi="宋体" w:cs="宋体"/>
          <w:b/>
          <w:color w:val="000000"/>
          <w:kern w:val="0"/>
          <w:sz w:val="24"/>
          <w:szCs w:val="24"/>
          <w:highlight w:val="none"/>
          <w:lang w:val="en-US" w:eastAsia="zh-CN"/>
        </w:rPr>
        <w:t>二</w:t>
      </w:r>
      <w:r>
        <w:rPr>
          <w:rFonts w:hint="eastAsia" w:ascii="宋体" w:hAnsi="宋体" w:eastAsia="宋体" w:cs="宋体"/>
          <w:b/>
          <w:color w:val="000000"/>
          <w:kern w:val="0"/>
          <w:sz w:val="24"/>
          <w:szCs w:val="24"/>
          <w:highlight w:val="none"/>
        </w:rPr>
        <w:t>、合同生效及其它</w:t>
      </w:r>
    </w:p>
    <w:p w14:paraId="7A98D7C5">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合同经双方法定代表人或授权代表签字并加盖单位公章后生效。</w:t>
      </w:r>
    </w:p>
    <w:p w14:paraId="3275BF4C">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合同执行中涉及采购资金和采购内容修改或补充的，须签书面补充协议，方可作为主合同不可分割的一部分。</w:t>
      </w:r>
    </w:p>
    <w:p w14:paraId="7DF6303F">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本合同未尽事宜，遵照《中华人民共和国民法典》有关条文执行。</w:t>
      </w:r>
    </w:p>
    <w:p w14:paraId="64BD339D">
      <w:pPr>
        <w:spacing w:after="156" w:afterLines="50" w:line="360" w:lineRule="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本合同一式</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份，具有同等法律效力，甲乙双方各执</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份。</w:t>
      </w:r>
    </w:p>
    <w:p w14:paraId="315B4814">
      <w:pPr>
        <w:spacing w:after="156" w:afterLines="5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p>
    <w:p w14:paraId="7E087954">
      <w:pPr>
        <w:spacing w:after="156" w:afterLines="5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甲方（公章）：                             乙方（公章）：</w:t>
      </w:r>
    </w:p>
    <w:p w14:paraId="238F7AFA">
      <w:pPr>
        <w:spacing w:after="156" w:afterLines="5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法定代表人（签字）：                       法定代表人（签字）：</w:t>
      </w:r>
    </w:p>
    <w:p w14:paraId="3B42B962">
      <w:pPr>
        <w:spacing w:after="156" w:afterLines="5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委托代理人（签字）：                       委托代理人（签字）：</w:t>
      </w:r>
    </w:p>
    <w:p w14:paraId="55881316">
      <w:pPr>
        <w:spacing w:after="156" w:afterLines="5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联系人：                                   联系人：</w:t>
      </w:r>
    </w:p>
    <w:p w14:paraId="13F384EE">
      <w:pPr>
        <w:spacing w:after="156" w:afterLines="5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联系电话：                                 联系电话：</w:t>
      </w:r>
    </w:p>
    <w:p w14:paraId="38743B08">
      <w:pPr>
        <w:spacing w:after="156" w:afterLines="5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地址：                                     地址：</w:t>
      </w:r>
    </w:p>
    <w:p w14:paraId="2E6C02CC">
      <w:pPr>
        <w:spacing w:line="360" w:lineRule="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签约地点：</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签约日期：</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年   月    日</w:t>
      </w:r>
    </w:p>
    <w:p w14:paraId="47CF744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D75688B">
      <w:pPr>
        <w:spacing w:line="360"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w:t>
      </w:r>
    </w:p>
    <w:p w14:paraId="41B64950">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廉洁协议</w:t>
      </w:r>
    </w:p>
    <w:p w14:paraId="3F8A082E">
      <w:pPr>
        <w:spacing w:line="360" w:lineRule="auto"/>
        <w:jc w:val="center"/>
        <w:rPr>
          <w:rFonts w:ascii="仿宋" w:hAnsi="仿宋" w:eastAsia="仿宋" w:cs="仿宋"/>
          <w:b/>
          <w:color w:val="auto"/>
          <w:sz w:val="24"/>
          <w:szCs w:val="20"/>
          <w:highlight w:val="none"/>
        </w:rPr>
      </w:pPr>
    </w:p>
    <w:p w14:paraId="286F72F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 xml:space="preserve">）：【】 </w:t>
      </w:r>
    </w:p>
    <w:p w14:paraId="08AEFF17">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 xml:space="preserve">）：【】 </w:t>
      </w:r>
    </w:p>
    <w:p w14:paraId="0726141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规范合同签订和履约过程中的各项活动，防止发生各种谋取不正当利益的违规、违纪、违法行为，保护国家、集体和甲乙双方的合法权益，根据国家有关政策、法律法规和廉政建设的各项规定，双方协商一致签订廉洁协议，作为甲乙双方共同遵守的行为准则。</w:t>
      </w:r>
    </w:p>
    <w:p w14:paraId="73AE0E44">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一、适用范围</w:t>
      </w:r>
    </w:p>
    <w:p w14:paraId="5AF43AD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本协议适用于甲方所有工作人员、乙方及其所有工作人员、乙方在该工程使用的分包队伍、协作队伍、材料供应商及其工作人员。</w:t>
      </w:r>
    </w:p>
    <w:p w14:paraId="1DEE874C">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二、甲方对甲方工作人员的廉洁要求</w:t>
      </w:r>
    </w:p>
    <w:p w14:paraId="326DD37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甲方禁止乙方工作人员从事如下但不局限于下列行为：</w:t>
      </w:r>
    </w:p>
    <w:p w14:paraId="1532EE8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向甲方工作人员提供礼品礼金卡、回扣及好处费、感谢费等；</w:t>
      </w:r>
    </w:p>
    <w:p w14:paraId="405FD6F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向甲方工作人员馈赠有价证券、通讯工具、交通工具、家电、高档办公用品、购物卡券等；</w:t>
      </w:r>
    </w:p>
    <w:p w14:paraId="77648F63">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参与赌博、色情、吸毒等影响公司形象和有悖社会公德的活动；</w:t>
      </w:r>
    </w:p>
    <w:p w14:paraId="1EDA12A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邀请、安排甲方工作人员外出旅游、度假、健身等活动和进入营业性高档娱乐场所；</w:t>
      </w:r>
    </w:p>
    <w:p w14:paraId="2401EACF">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介绍其配偶、子女、亲属等特定关系人从事与履行甲乙双方间合同有关的营利性经营活动；</w:t>
      </w:r>
    </w:p>
    <w:p w14:paraId="034BFD6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乙方为甲方工作人员在住房装修、婚丧嫁娶、家属和子女的工作安排以及出境等提供方便；</w:t>
      </w:r>
    </w:p>
    <w:p w14:paraId="4B79C98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乙方或分包、协作队伍、材料供应商与甲方拥有采购权、审核权、结算权、验收权等权力的工作人员互为借款，或满足甲方工作人员提出或暗示的其他不正当要求；</w:t>
      </w:r>
    </w:p>
    <w:p w14:paraId="2A4B09CA">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  报销应由甲方个人承担的费用；</w:t>
      </w:r>
    </w:p>
    <w:p w14:paraId="43A354FC">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  邀请或安排甲方工作人员参加有可能影响公正开展工作的宴请、娱乐或其他活动；</w:t>
      </w:r>
    </w:p>
    <w:p w14:paraId="605FD086">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  窃取公司重大事项、商业秘密等信息，进行利益交换；</w:t>
      </w:r>
    </w:p>
    <w:p w14:paraId="32BA323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  乙方进行其他违反政策、法律法规或廉洁从业的要求，损害甲方公司利益的其他行为。  </w:t>
      </w:r>
    </w:p>
    <w:p w14:paraId="7C3A19E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三、乙方发现甲方工作人员有本协议第二条所列任何行为，有义务拒绝，亦有义务向甲方举报。</w:t>
      </w:r>
    </w:p>
    <w:p w14:paraId="54F122F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甲方接受举报的途径如下：</w:t>
      </w:r>
    </w:p>
    <w:p w14:paraId="23959E2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  受理电话：【】   </w:t>
      </w:r>
    </w:p>
    <w:p w14:paraId="56600B3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  受理地址：【】   </w:t>
      </w:r>
    </w:p>
    <w:p w14:paraId="59853BCC">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  受理部门：【】    </w:t>
      </w:r>
    </w:p>
    <w:p w14:paraId="141A87E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受理邮箱：【】</w:t>
      </w:r>
    </w:p>
    <w:p w14:paraId="2604243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不得主动或被动从事或配合甲方工作人员从事违反本协议第二条所列的禁止事项，否则甲方有权解除合同，同时乙方应向甲方支付本合同已供货金额20%的违约金，乙方应同时赔偿甲方因其工作人员违反廉洁要求而遭受的损失。【乙方同意同时承担违约金和赔偿责任。】</w:t>
      </w:r>
    </w:p>
    <w:p w14:paraId="39F99A9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五、本廉洁协议作为主合同的附件，与主合同份数相同，具有同等法律效力，经协议双方签字盖章后生效。</w:t>
      </w:r>
    </w:p>
    <w:p w14:paraId="3EC25492">
      <w:pPr>
        <w:snapToGrid w:val="0"/>
        <w:spacing w:line="440" w:lineRule="exact"/>
        <w:ind w:firstLine="480" w:firstLineChars="200"/>
        <w:rPr>
          <w:rFonts w:hint="eastAsia" w:ascii="宋体" w:hAnsi="宋体" w:eastAsia="宋体" w:cs="宋体"/>
          <w:color w:val="auto"/>
          <w:sz w:val="24"/>
          <w:highlight w:val="none"/>
        </w:rPr>
      </w:pPr>
    </w:p>
    <w:p w14:paraId="022FC266">
      <w:pPr>
        <w:snapToGrid w:val="0"/>
        <w:spacing w:line="440" w:lineRule="exact"/>
        <w:ind w:firstLine="480" w:firstLineChars="200"/>
        <w:rPr>
          <w:rFonts w:hint="eastAsia" w:ascii="宋体" w:hAnsi="宋体" w:eastAsia="宋体" w:cs="宋体"/>
          <w:color w:val="auto"/>
          <w:sz w:val="24"/>
          <w:highlight w:val="none"/>
        </w:rPr>
      </w:pPr>
    </w:p>
    <w:p w14:paraId="15C3C2B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 方 （公章）：                          乙 方 （公章）：</w:t>
      </w:r>
    </w:p>
    <w:p w14:paraId="08A90B2C">
      <w:pPr>
        <w:snapToGrid w:val="0"/>
        <w:spacing w:line="440" w:lineRule="exact"/>
        <w:ind w:firstLine="480" w:firstLineChars="200"/>
        <w:rPr>
          <w:rFonts w:hint="eastAsia" w:ascii="宋体" w:hAnsi="宋体" w:eastAsia="宋体" w:cs="宋体"/>
          <w:color w:val="auto"/>
          <w:sz w:val="24"/>
          <w:highlight w:val="none"/>
        </w:rPr>
      </w:pPr>
    </w:p>
    <w:p w14:paraId="5D1C8933">
      <w:pPr>
        <w:snapToGrid w:val="0"/>
        <w:spacing w:line="440" w:lineRule="exact"/>
        <w:ind w:firstLine="480" w:firstLineChars="200"/>
        <w:rPr>
          <w:rFonts w:hint="eastAsia" w:ascii="宋体" w:hAnsi="宋体" w:eastAsia="宋体" w:cs="宋体"/>
          <w:color w:val="auto"/>
          <w:sz w:val="24"/>
          <w:highlight w:val="none"/>
        </w:rPr>
      </w:pPr>
    </w:p>
    <w:p w14:paraId="74ACE4C4">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                法定代表人（或授权代表）：</w:t>
      </w:r>
    </w:p>
    <w:p w14:paraId="29696A6E">
      <w:pPr>
        <w:autoSpaceDE/>
        <w:autoSpaceDN/>
        <w:spacing w:line="240" w:lineRule="auto"/>
        <w:ind w:firstLine="0" w:firstLineChars="0"/>
        <w:jc w:val="center"/>
        <w:rPr>
          <w:rFonts w:hint="eastAsia" w:hAnsi="宋体"/>
          <w:b/>
          <w:color w:val="auto"/>
          <w:sz w:val="32"/>
          <w:szCs w:val="32"/>
          <w:highlight w:val="none"/>
        </w:rPr>
        <w:sectPr>
          <w:pgSz w:w="11905" w:h="16838"/>
          <w:pgMar w:top="1247" w:right="1361" w:bottom="1247" w:left="1361" w:header="851" w:footer="850" w:gutter="0"/>
          <w:pgBorders>
            <w:top w:val="none" w:sz="0" w:space="0"/>
            <w:left w:val="none" w:sz="0" w:space="0"/>
            <w:bottom w:val="none" w:sz="0" w:space="0"/>
            <w:right w:val="none" w:sz="0" w:space="0"/>
          </w:pgBorders>
          <w:pgNumType w:fmt="decimal"/>
          <w:cols w:space="0" w:num="1"/>
          <w:rtlGutter w:val="0"/>
          <w:docGrid w:type="lines" w:linePitch="382" w:charSpace="0"/>
        </w:sectPr>
      </w:pPr>
      <w:r>
        <w:rPr>
          <w:b/>
          <w:bCs/>
          <w:color w:val="auto"/>
          <w:sz w:val="32"/>
          <w:highlight w:val="none"/>
        </w:rPr>
        <w:br w:type="page"/>
      </w:r>
      <w:bookmarkEnd w:id="31"/>
      <w:bookmarkEnd w:id="32"/>
      <w:r>
        <w:rPr>
          <w:rFonts w:hint="eastAsia" w:hAnsi="宋体"/>
          <w:b/>
          <w:color w:val="auto"/>
          <w:sz w:val="32"/>
          <w:szCs w:val="32"/>
          <w:highlight w:val="none"/>
        </w:rPr>
        <w:t>第六章　投标文件格式</w:t>
      </w:r>
    </w:p>
    <w:p w14:paraId="42A1A16F">
      <w:pPr>
        <w:pStyle w:val="22"/>
        <w:rPr>
          <w:highlight w:val="none"/>
        </w:rPr>
      </w:pPr>
    </w:p>
    <w:p w14:paraId="2C757BDE">
      <w:pPr>
        <w:snapToGrid w:val="0"/>
        <w:spacing w:before="50" w:after="191" w:afterLines="5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62A81D3F">
      <w:pPr>
        <w:spacing w:line="360" w:lineRule="auto"/>
        <w:jc w:val="center"/>
        <w:rPr>
          <w:b/>
          <w:color w:val="auto"/>
          <w:sz w:val="36"/>
          <w:highlight w:val="none"/>
        </w:rPr>
      </w:pPr>
      <w:r>
        <w:rPr>
          <w:rFonts w:hint="eastAsia" w:ascii="宋体"/>
          <w:b/>
          <w:color w:val="auto"/>
          <w:sz w:val="36"/>
          <w:highlight w:val="none"/>
        </w:rPr>
        <w:t>法定代表人授权书</w:t>
      </w:r>
    </w:p>
    <w:p w14:paraId="061471A4">
      <w:pPr>
        <w:spacing w:line="360" w:lineRule="auto"/>
        <w:rPr>
          <w:color w:val="auto"/>
          <w:sz w:val="24"/>
          <w:highlight w:val="none"/>
        </w:rPr>
      </w:pPr>
    </w:p>
    <w:p w14:paraId="641B6B3E">
      <w:pPr>
        <w:spacing w:line="360" w:lineRule="auto"/>
        <w:rPr>
          <w:rFonts w:ascii="宋体"/>
          <w:color w:val="auto"/>
          <w:sz w:val="24"/>
          <w:highlight w:val="none"/>
        </w:rPr>
      </w:pPr>
      <w:r>
        <w:rPr>
          <w:rFonts w:hint="eastAsia"/>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eastAsia="zh-CN"/>
        </w:rPr>
        <w:t>招标人</w:t>
      </w:r>
      <w:r>
        <w:rPr>
          <w:rFonts w:hint="eastAsia" w:ascii="宋体"/>
          <w:color w:val="auto"/>
          <w:sz w:val="24"/>
          <w:highlight w:val="none"/>
        </w:rPr>
        <w:t>）</w:t>
      </w:r>
    </w:p>
    <w:p w14:paraId="03B0B119">
      <w:pPr>
        <w:spacing w:line="360" w:lineRule="auto"/>
        <w:rPr>
          <w:rFonts w:ascii="宋体"/>
          <w:color w:val="auto"/>
          <w:sz w:val="24"/>
          <w:highlight w:val="none"/>
        </w:rPr>
      </w:pPr>
    </w:p>
    <w:p w14:paraId="15068111">
      <w:pPr>
        <w:spacing w:line="360" w:lineRule="auto"/>
        <w:ind w:firstLine="600" w:firstLineChars="250"/>
        <w:rPr>
          <w:rFonts w:ascii="宋体" w:hAnsi="宋体"/>
          <w:color w:val="auto"/>
          <w:sz w:val="24"/>
          <w:highlight w:val="none"/>
        </w:rPr>
      </w:pPr>
      <w:r>
        <w:rPr>
          <w:rFonts w:hint="eastAsia"/>
          <w:color w:val="auto"/>
          <w:sz w:val="24"/>
          <w:highlight w:val="none"/>
        </w:rPr>
        <w:t>本人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sz w:val="24"/>
          <w:highlight w:val="none"/>
        </w:rPr>
        <w:t>系</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（投标人全称）法定代表人，现授权委托</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 投标人代表名称）为全权代表，参加贵处组织的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项目（项目</w:t>
      </w:r>
      <w:r>
        <w:rPr>
          <w:rFonts w:hint="eastAsia" w:ascii="宋体"/>
          <w:color w:val="auto"/>
          <w:sz w:val="24"/>
          <w:highlight w:val="none"/>
          <w:lang w:val="en-US" w:eastAsia="zh-CN"/>
        </w:rPr>
        <w:t>名称</w:t>
      </w:r>
      <w:r>
        <w:rPr>
          <w:rFonts w:hint="eastAsia" w:ascii="宋体"/>
          <w:color w:val="auto"/>
          <w:sz w:val="24"/>
          <w:highlight w:val="none"/>
        </w:rPr>
        <w:t>）投标活动，并代表我公司全权办理针对上述项目的</w:t>
      </w:r>
      <w:r>
        <w:rPr>
          <w:rFonts w:hint="eastAsia" w:ascii="宋体"/>
          <w:b/>
          <w:color w:val="auto"/>
          <w:sz w:val="24"/>
          <w:highlight w:val="none"/>
        </w:rPr>
        <w:t>投标全程各事项、投标文件签署、合同签订及项目实施</w:t>
      </w:r>
      <w:r>
        <w:rPr>
          <w:rFonts w:hint="eastAsia" w:ascii="宋体"/>
          <w:color w:val="auto"/>
          <w:sz w:val="24"/>
          <w:highlight w:val="none"/>
        </w:rPr>
        <w:t>等涉及的一切事宜，我公司</w:t>
      </w:r>
      <w:r>
        <w:rPr>
          <w:rFonts w:hint="eastAsia" w:ascii="宋体" w:hAnsi="宋体"/>
          <w:color w:val="auto"/>
          <w:sz w:val="24"/>
          <w:highlight w:val="none"/>
        </w:rPr>
        <w:t>对被授权人的签名等行为均予以</w:t>
      </w:r>
      <w:r>
        <w:rPr>
          <w:rFonts w:ascii="宋体" w:hAnsi="宋体"/>
          <w:color w:val="auto"/>
          <w:sz w:val="24"/>
          <w:highlight w:val="none"/>
        </w:rPr>
        <w:t>承</w:t>
      </w:r>
      <w:r>
        <w:rPr>
          <w:rFonts w:hint="eastAsia" w:ascii="宋体" w:hAnsi="宋体"/>
          <w:color w:val="auto"/>
          <w:sz w:val="24"/>
          <w:highlight w:val="none"/>
        </w:rPr>
        <w:t>认，由此所产生的一切法律后果和法律责任，均由</w:t>
      </w:r>
      <w:r>
        <w:rPr>
          <w:rFonts w:hint="eastAsia" w:ascii="宋体"/>
          <w:color w:val="auto"/>
          <w:sz w:val="24"/>
          <w:highlight w:val="none"/>
        </w:rPr>
        <w:t>我公司</w:t>
      </w:r>
      <w:r>
        <w:rPr>
          <w:rFonts w:ascii="宋体" w:hAnsi="宋体"/>
          <w:color w:val="auto"/>
          <w:sz w:val="24"/>
          <w:highlight w:val="none"/>
        </w:rPr>
        <w:t>承担</w:t>
      </w:r>
      <w:r>
        <w:rPr>
          <w:rFonts w:hint="eastAsia" w:ascii="宋体" w:hAnsi="宋体"/>
          <w:color w:val="auto"/>
          <w:sz w:val="24"/>
          <w:highlight w:val="none"/>
        </w:rPr>
        <w:t>。</w:t>
      </w:r>
      <w:r>
        <w:rPr>
          <w:rFonts w:hint="eastAsia" w:ascii="宋体"/>
          <w:color w:val="auto"/>
          <w:sz w:val="24"/>
          <w:highlight w:val="none"/>
        </w:rPr>
        <w:t>同时宣布承诺如下：</w:t>
      </w:r>
    </w:p>
    <w:p w14:paraId="50B026B5">
      <w:pPr>
        <w:spacing w:line="360" w:lineRule="auto"/>
        <w:ind w:left="480"/>
        <w:rPr>
          <w:rFonts w:ascii="宋体"/>
          <w:color w:val="auto"/>
          <w:sz w:val="24"/>
          <w:highlight w:val="none"/>
        </w:rPr>
      </w:pPr>
      <w:r>
        <w:rPr>
          <w:rFonts w:hint="eastAsia" w:ascii="宋体"/>
          <w:color w:val="auto"/>
          <w:sz w:val="24"/>
          <w:highlight w:val="none"/>
        </w:rPr>
        <w:t>（1）我公司已详细阅读全部招标文件（含补充修改文件），并理解其实质性内容，同意承担招标文件规定的全部义务和相关责任。</w:t>
      </w:r>
    </w:p>
    <w:p w14:paraId="345960C2">
      <w:pPr>
        <w:spacing w:line="360" w:lineRule="auto"/>
        <w:ind w:left="480"/>
        <w:rPr>
          <w:rFonts w:ascii="宋体"/>
          <w:color w:val="auto"/>
          <w:sz w:val="24"/>
          <w:highlight w:val="none"/>
        </w:rPr>
      </w:pPr>
      <w:r>
        <w:rPr>
          <w:rFonts w:hint="eastAsia"/>
          <w:color w:val="auto"/>
          <w:sz w:val="24"/>
          <w:highlight w:val="none"/>
        </w:rPr>
        <w:t>（2）我公司同意提供</w:t>
      </w:r>
      <w:r>
        <w:rPr>
          <w:rFonts w:hint="eastAsia"/>
          <w:color w:val="auto"/>
          <w:sz w:val="24"/>
          <w:highlight w:val="none"/>
          <w:lang w:eastAsia="zh-CN"/>
        </w:rPr>
        <w:t>招标人</w:t>
      </w:r>
      <w:r>
        <w:rPr>
          <w:rFonts w:hint="eastAsia"/>
          <w:color w:val="auto"/>
          <w:sz w:val="24"/>
          <w:highlight w:val="none"/>
        </w:rPr>
        <w:t>可能要求的与其投标有关的一切数据或资料。</w:t>
      </w:r>
    </w:p>
    <w:p w14:paraId="019ED618">
      <w:pPr>
        <w:spacing w:line="360" w:lineRule="auto"/>
        <w:ind w:left="480"/>
        <w:rPr>
          <w:color w:val="auto"/>
          <w:sz w:val="24"/>
          <w:highlight w:val="none"/>
        </w:rPr>
      </w:pPr>
      <w:r>
        <w:rPr>
          <w:rFonts w:hint="eastAsia"/>
          <w:color w:val="auto"/>
          <w:sz w:val="24"/>
          <w:highlight w:val="none"/>
        </w:rPr>
        <w:t>（3）我公司所提交的一切投标资料均为合法且真实有效。</w:t>
      </w:r>
    </w:p>
    <w:p w14:paraId="19160DFA">
      <w:pPr>
        <w:spacing w:line="360" w:lineRule="auto"/>
        <w:rPr>
          <w:color w:val="auto"/>
          <w:sz w:val="24"/>
          <w:highlight w:val="none"/>
        </w:rPr>
      </w:pPr>
    </w:p>
    <w:p w14:paraId="7651A315">
      <w:pPr>
        <w:snapToGrid w:val="0"/>
        <w:spacing w:before="191" w:beforeLines="50" w:after="50" w:line="360" w:lineRule="auto"/>
        <w:ind w:firstLine="480" w:firstLineChars="200"/>
        <w:rPr>
          <w:rFonts w:ascii="宋体"/>
          <w:color w:val="auto"/>
          <w:sz w:val="24"/>
          <w:highlight w:val="none"/>
        </w:rPr>
      </w:pPr>
      <w:r>
        <w:rPr>
          <w:rFonts w:hint="eastAsia" w:ascii="宋体" w:hAnsi="宋体"/>
          <w:color w:val="auto"/>
          <w:sz w:val="24"/>
          <w:highlight w:val="none"/>
        </w:rPr>
        <w:t xml:space="preserve">被授权人签名：                        </w:t>
      </w:r>
      <w:r>
        <w:rPr>
          <w:rFonts w:hint="eastAsia" w:ascii="宋体"/>
          <w:color w:val="auto"/>
          <w:sz w:val="24"/>
          <w:highlight w:val="none"/>
        </w:rPr>
        <w:t>法定代表人（签字或盖章）：</w:t>
      </w:r>
    </w:p>
    <w:p w14:paraId="027CECC5">
      <w:pPr>
        <w:snapToGrid w:val="0"/>
        <w:spacing w:before="191" w:beforeLines="50" w:after="50"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被授权人身份证号码：                      </w:t>
      </w:r>
    </w:p>
    <w:p w14:paraId="28B0B560">
      <w:pPr>
        <w:snapToGrid w:val="0"/>
        <w:spacing w:before="191" w:beforeLines="50" w:after="50"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被授权人联系电话：                            </w:t>
      </w:r>
    </w:p>
    <w:p w14:paraId="42657DC2">
      <w:pPr>
        <w:ind w:firstLine="480" w:firstLineChars="200"/>
        <w:rPr>
          <w:rFonts w:ascii="宋体" w:hAnsi="宋体"/>
          <w:color w:val="auto"/>
          <w:sz w:val="24"/>
          <w:highlight w:val="none"/>
        </w:rPr>
      </w:pPr>
      <w:r>
        <w:rPr>
          <w:rFonts w:hint="eastAsia" w:ascii="宋体" w:hAnsi="宋体"/>
          <w:color w:val="auto"/>
          <w:sz w:val="24"/>
          <w:highlight w:val="none"/>
        </w:rPr>
        <w:t>投标人（盖章）</w:t>
      </w:r>
      <w:r>
        <w:rPr>
          <w:rFonts w:hint="eastAsia" w:ascii="宋体"/>
          <w:color w:val="auto"/>
          <w:sz w:val="24"/>
          <w:highlight w:val="none"/>
        </w:rPr>
        <w:t xml:space="preserve">：       </w:t>
      </w:r>
    </w:p>
    <w:p w14:paraId="3A0CFC6A">
      <w:pPr>
        <w:snapToGrid w:val="0"/>
        <w:spacing w:before="191" w:beforeLines="50" w:after="50" w:line="360" w:lineRule="auto"/>
        <w:jc w:val="righ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年   月    日</w:t>
      </w:r>
    </w:p>
    <w:p w14:paraId="5319FC8E">
      <w:pPr>
        <w:snapToGrid w:val="0"/>
        <w:spacing w:before="191" w:beforeLines="50" w:after="50" w:line="360" w:lineRule="auto"/>
        <w:ind w:firstLine="480" w:firstLineChars="200"/>
        <w:rPr>
          <w:rFonts w:ascii="宋体" w:hAnsi="宋体"/>
          <w:color w:val="auto"/>
          <w:sz w:val="24"/>
          <w:highlight w:val="none"/>
        </w:rPr>
      </w:pPr>
    </w:p>
    <w:p w14:paraId="06162ED1">
      <w:pPr>
        <w:snapToGrid w:val="0"/>
        <w:spacing w:before="50" w:after="191" w:afterLines="50"/>
        <w:jc w:val="left"/>
        <w:rPr>
          <w:rFonts w:hint="eastAsia" w:ascii="黑体" w:hAnsi="黑体" w:eastAsia="黑体" w:cs="黑体"/>
          <w:color w:val="auto"/>
          <w:sz w:val="32"/>
          <w:szCs w:val="32"/>
          <w:highlight w:val="none"/>
        </w:rPr>
      </w:pPr>
    </w:p>
    <w:p w14:paraId="0B72B91C">
      <w:pPr>
        <w:snapToGrid w:val="0"/>
        <w:spacing w:before="50" w:after="191" w:afterLines="5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w:t>
      </w:r>
    </w:p>
    <w:p w14:paraId="572AFE03">
      <w:pPr>
        <w:pStyle w:val="23"/>
        <w:rPr>
          <w:rFonts w:hint="eastAsia"/>
          <w:highlight w:val="none"/>
        </w:rPr>
      </w:pPr>
    </w:p>
    <w:p w14:paraId="35A7F8E3">
      <w:pPr>
        <w:adjustRightInd w:val="0"/>
        <w:snapToGrid w:val="0"/>
        <w:spacing w:before="156" w:beforeLines="50" w:line="360" w:lineRule="auto"/>
        <w:jc w:val="center"/>
        <w:rPr>
          <w:rFonts w:hint="eastAsia" w:ascii="宋体" w:hAnsi="宋体" w:eastAsia="宋体" w:cs="宋体"/>
          <w:sz w:val="44"/>
          <w:highlight w:val="none"/>
        </w:rPr>
      </w:pPr>
      <w:r>
        <w:rPr>
          <w:rFonts w:hint="eastAsia" w:ascii="宋体" w:hAnsi="宋体" w:eastAsia="宋体" w:cs="宋体"/>
          <w:sz w:val="44"/>
          <w:highlight w:val="none"/>
        </w:rPr>
        <w:t>法定代表人身份证明</w:t>
      </w:r>
    </w:p>
    <w:p w14:paraId="643C05BC">
      <w:pPr>
        <w:adjustRightInd w:val="0"/>
        <w:snapToGrid w:val="0"/>
        <w:spacing w:before="156" w:beforeLines="50" w:line="360" w:lineRule="auto"/>
        <w:jc w:val="center"/>
        <w:rPr>
          <w:rFonts w:hint="eastAsia" w:ascii="宋体" w:hAnsi="宋体" w:eastAsia="宋体" w:cs="宋体"/>
          <w:sz w:val="44"/>
          <w:szCs w:val="44"/>
          <w:highlight w:val="none"/>
        </w:rPr>
      </w:pPr>
      <w:r>
        <w:rPr>
          <w:rFonts w:hint="eastAsia" w:ascii="宋体" w:hAnsi="宋体" w:eastAsia="宋体" w:cs="宋体"/>
          <w:sz w:val="28"/>
          <w:highlight w:val="none"/>
        </w:rPr>
        <w:t>（参考样张）</w:t>
      </w:r>
    </w:p>
    <w:p w14:paraId="7532F956">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投标人名称：</w:t>
      </w:r>
      <w:r>
        <w:rPr>
          <w:rFonts w:hint="eastAsia" w:ascii="宋体" w:hAnsi="宋体" w:eastAsia="宋体" w:cs="宋体"/>
          <w:kern w:val="0"/>
          <w:sz w:val="28"/>
          <w:szCs w:val="28"/>
          <w:highlight w:val="none"/>
          <w:u w:val="single"/>
        </w:rPr>
        <w:t xml:space="preserve">                              </w:t>
      </w:r>
    </w:p>
    <w:p w14:paraId="098A5FA4">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单位性质：</w:t>
      </w:r>
      <w:r>
        <w:rPr>
          <w:rFonts w:hint="eastAsia" w:ascii="宋体" w:hAnsi="宋体" w:eastAsia="宋体" w:cs="宋体"/>
          <w:kern w:val="0"/>
          <w:sz w:val="28"/>
          <w:szCs w:val="28"/>
          <w:highlight w:val="none"/>
          <w:u w:val="single"/>
        </w:rPr>
        <w:t xml:space="preserve">                                </w:t>
      </w:r>
    </w:p>
    <w:p w14:paraId="5BB7DF44">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地址：</w:t>
      </w:r>
      <w:r>
        <w:rPr>
          <w:rFonts w:hint="eastAsia" w:ascii="宋体" w:hAnsi="宋体" w:eastAsia="宋体" w:cs="宋体"/>
          <w:kern w:val="0"/>
          <w:sz w:val="28"/>
          <w:szCs w:val="28"/>
          <w:highlight w:val="none"/>
          <w:u w:val="single"/>
        </w:rPr>
        <w:t xml:space="preserve">                                    </w:t>
      </w:r>
    </w:p>
    <w:p w14:paraId="3A93CDF9">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姓名：</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性别：</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年龄：</w:t>
      </w:r>
      <w:r>
        <w:rPr>
          <w:rFonts w:hint="eastAsia" w:ascii="宋体" w:hAnsi="宋体" w:eastAsia="宋体" w:cs="宋体"/>
          <w:kern w:val="0"/>
          <w:sz w:val="28"/>
          <w:szCs w:val="28"/>
          <w:highlight w:val="none"/>
          <w:u w:val="single"/>
        </w:rPr>
        <w:t xml:space="preserve">          </w:t>
      </w:r>
    </w:p>
    <w:p w14:paraId="4F35804E">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身份证号码：</w:t>
      </w:r>
      <w:r>
        <w:rPr>
          <w:rFonts w:hint="eastAsia" w:ascii="宋体" w:hAnsi="宋体" w:eastAsia="宋体" w:cs="宋体"/>
          <w:kern w:val="0"/>
          <w:sz w:val="28"/>
          <w:szCs w:val="28"/>
          <w:highlight w:val="none"/>
          <w:u w:val="single"/>
        </w:rPr>
        <w:t xml:space="preserve">                              </w:t>
      </w:r>
    </w:p>
    <w:p w14:paraId="6B38A82E">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联系电话：</w:t>
      </w:r>
      <w:r>
        <w:rPr>
          <w:rFonts w:hint="eastAsia" w:ascii="宋体" w:hAnsi="宋体" w:eastAsia="宋体" w:cs="宋体"/>
          <w:kern w:val="0"/>
          <w:sz w:val="28"/>
          <w:szCs w:val="28"/>
          <w:highlight w:val="none"/>
          <w:u w:val="single"/>
        </w:rPr>
        <w:t xml:space="preserve">                                </w:t>
      </w:r>
    </w:p>
    <w:p w14:paraId="0436C555">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职务：</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系</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（投标人名称）的法定代表人。</w:t>
      </w:r>
    </w:p>
    <w:p w14:paraId="191EC108">
      <w:pPr>
        <w:autoSpaceDE w:val="0"/>
        <w:autoSpaceDN w:val="0"/>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p>
    <w:p w14:paraId="69346B78">
      <w:pPr>
        <w:autoSpaceDE w:val="0"/>
        <w:autoSpaceDN w:val="0"/>
        <w:adjustRightInd w:val="0"/>
        <w:snapToGrid w:val="0"/>
        <w:spacing w:line="360" w:lineRule="auto"/>
        <w:ind w:firstLine="1120" w:firstLineChars="4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特此证明。</w:t>
      </w:r>
    </w:p>
    <w:p w14:paraId="08C9DA38">
      <w:pPr>
        <w:autoSpaceDE w:val="0"/>
        <w:autoSpaceDN w:val="0"/>
        <w:adjustRightInd w:val="0"/>
        <w:snapToGrid w:val="0"/>
        <w:spacing w:line="360" w:lineRule="auto"/>
        <w:ind w:firstLine="1120" w:firstLineChars="400"/>
        <w:textAlignment w:val="baseline"/>
        <w:rPr>
          <w:rFonts w:hint="eastAsia" w:ascii="宋体" w:hAnsi="宋体" w:eastAsia="宋体" w:cs="宋体"/>
          <w:kern w:val="0"/>
          <w:sz w:val="28"/>
          <w:szCs w:val="28"/>
          <w:highlight w:val="none"/>
        </w:rPr>
      </w:pPr>
    </w:p>
    <w:p w14:paraId="387C8FE9">
      <w:pPr>
        <w:autoSpaceDE w:val="0"/>
        <w:autoSpaceDN w:val="0"/>
        <w:adjustRightInd w:val="0"/>
        <w:snapToGrid w:val="0"/>
        <w:spacing w:line="360" w:lineRule="auto"/>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投标人：（盖单位公章）</w:t>
      </w:r>
    </w:p>
    <w:p w14:paraId="0DC5AB18">
      <w:pPr>
        <w:autoSpaceDE w:val="0"/>
        <w:autoSpaceDN w:val="0"/>
        <w:adjustRightInd w:val="0"/>
        <w:snapToGrid w:val="0"/>
        <w:spacing w:line="360" w:lineRule="auto"/>
        <w:ind w:firstLine="6020" w:firstLineChars="2150"/>
        <w:textAlignment w:val="baseline"/>
        <w:rPr>
          <w:rFonts w:hint="eastAsia" w:ascii="宋体" w:hAnsi="宋体" w:eastAsia="宋体" w:cs="宋体"/>
          <w:kern w:val="0"/>
          <w:sz w:val="28"/>
          <w:szCs w:val="28"/>
          <w:highlight w:val="none"/>
          <w:u w:val="single"/>
        </w:rPr>
      </w:pPr>
    </w:p>
    <w:p w14:paraId="3CC85382">
      <w:pPr>
        <w:jc w:val="right"/>
        <w:rPr>
          <w:rFonts w:hint="eastAsia" w:ascii="宋体" w:hAnsi="宋体" w:eastAsia="宋体" w:cs="宋体"/>
          <w:highlight w:val="none"/>
        </w:rPr>
      </w:pP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2D9C423D">
      <w:pPr>
        <w:widowControl/>
        <w:spacing w:line="360" w:lineRule="auto"/>
        <w:jc w:val="left"/>
        <w:rPr>
          <w:rFonts w:hAnsi="宋体"/>
          <w:color w:val="auto"/>
          <w:highlight w:val="none"/>
        </w:rPr>
        <w:sectPr>
          <w:pgSz w:w="11905" w:h="16838"/>
          <w:pgMar w:top="1247" w:right="1361" w:bottom="1247" w:left="1361" w:header="851" w:footer="850" w:gutter="0"/>
          <w:pgBorders>
            <w:top w:val="none" w:sz="0" w:space="0"/>
            <w:left w:val="none" w:sz="0" w:space="0"/>
            <w:bottom w:val="none" w:sz="0" w:space="0"/>
            <w:right w:val="none" w:sz="0" w:space="0"/>
          </w:pgBorders>
          <w:pgNumType w:fmt="decimal"/>
          <w:cols w:space="0" w:num="1"/>
          <w:rtlGutter w:val="0"/>
          <w:docGrid w:type="lines" w:linePitch="382" w:charSpace="0"/>
        </w:sectPr>
      </w:pPr>
    </w:p>
    <w:p w14:paraId="4BFC8D58">
      <w:pPr>
        <w:tabs>
          <w:tab w:val="left" w:pos="739"/>
        </w:tabs>
        <w:spacing w:line="320" w:lineRule="exact"/>
        <w:rPr>
          <w:rFonts w:ascii="宋体" w:hAnsi="宋体"/>
          <w:color w:val="auto"/>
          <w:sz w:val="24"/>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w:t>
      </w:r>
    </w:p>
    <w:p w14:paraId="76997F21">
      <w:pPr>
        <w:autoSpaceDE w:val="0"/>
        <w:autoSpaceDN w:val="0"/>
        <w:adjustRightInd w:val="0"/>
        <w:snapToGrid w:val="0"/>
        <w:spacing w:line="360" w:lineRule="auto"/>
        <w:jc w:val="center"/>
        <w:textAlignment w:val="baseline"/>
        <w:rPr>
          <w:rFonts w:hint="eastAsia" w:ascii="宋体" w:hAnsi="宋体" w:eastAsia="宋体" w:cs="宋体"/>
          <w:b/>
          <w:color w:val="000000"/>
          <w:kern w:val="0"/>
          <w:sz w:val="24"/>
          <w:highlight w:val="none"/>
        </w:rPr>
      </w:pPr>
    </w:p>
    <w:p w14:paraId="1456A5E0">
      <w:pPr>
        <w:autoSpaceDE w:val="0"/>
        <w:autoSpaceDN w:val="0"/>
        <w:adjustRightInd w:val="0"/>
        <w:snapToGrid w:val="0"/>
        <w:spacing w:line="360" w:lineRule="auto"/>
        <w:jc w:val="both"/>
        <w:textAlignment w:val="baseline"/>
        <w:rPr>
          <w:rFonts w:hint="eastAsia" w:ascii="宋体" w:hAnsi="宋体" w:eastAsia="宋体" w:cs="宋体"/>
          <w:b/>
          <w:color w:val="000000"/>
          <w:kern w:val="0"/>
          <w:sz w:val="24"/>
          <w:highlight w:val="none"/>
        </w:rPr>
      </w:pPr>
    </w:p>
    <w:p w14:paraId="7D99F500">
      <w:pPr>
        <w:autoSpaceDE w:val="0"/>
        <w:autoSpaceDN w:val="0"/>
        <w:adjustRightInd w:val="0"/>
        <w:snapToGrid w:val="0"/>
        <w:spacing w:line="360" w:lineRule="auto"/>
        <w:jc w:val="center"/>
        <w:textAlignment w:val="baseline"/>
        <w:rPr>
          <w:rFonts w:hint="eastAsia" w:ascii="宋体" w:hAnsi="宋体" w:eastAsia="宋体" w:cs="宋体"/>
          <w:b/>
          <w:snapToGrid w:val="0"/>
          <w:color w:val="000000"/>
          <w:kern w:val="0"/>
          <w:sz w:val="30"/>
          <w:szCs w:val="30"/>
          <w:highlight w:val="none"/>
        </w:rPr>
      </w:pPr>
      <w:r>
        <w:rPr>
          <w:rFonts w:hint="eastAsia" w:ascii="宋体" w:hAnsi="宋体" w:eastAsia="宋体" w:cs="宋体"/>
          <w:b/>
          <w:color w:val="000000"/>
          <w:kern w:val="0"/>
          <w:sz w:val="30"/>
          <w:szCs w:val="30"/>
          <w:highlight w:val="none"/>
        </w:rPr>
        <w:t>投标人未被限制投标承诺书</w:t>
      </w:r>
    </w:p>
    <w:p w14:paraId="239FB3CF">
      <w:pPr>
        <w:autoSpaceDE w:val="0"/>
        <w:autoSpaceDN w:val="0"/>
        <w:adjustRightInd w:val="0"/>
        <w:snapToGrid w:val="0"/>
        <w:spacing w:line="360" w:lineRule="auto"/>
        <w:textAlignment w:val="baseline"/>
        <w:rPr>
          <w:rFonts w:hint="eastAsia" w:ascii="宋体" w:hAnsi="宋体" w:eastAsia="宋体" w:cs="宋体"/>
          <w:snapToGrid w:val="0"/>
          <w:color w:val="000000"/>
          <w:kern w:val="0"/>
          <w:sz w:val="24"/>
          <w:highlight w:val="none"/>
          <w:u w:val="single"/>
        </w:rPr>
      </w:pPr>
    </w:p>
    <w:p w14:paraId="348285D2">
      <w:pPr>
        <w:autoSpaceDE w:val="0"/>
        <w:autoSpaceDN w:val="0"/>
        <w:adjustRightInd w:val="0"/>
        <w:snapToGrid w:val="0"/>
        <w:spacing w:line="360" w:lineRule="auto"/>
        <w:textAlignment w:val="baseline"/>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u w:val="single"/>
        </w:rPr>
        <w:t xml:space="preserve">                       </w:t>
      </w:r>
      <w:r>
        <w:rPr>
          <w:rFonts w:hint="eastAsia" w:ascii="宋体" w:hAnsi="宋体" w:eastAsia="宋体" w:cs="宋体"/>
          <w:snapToGrid w:val="0"/>
          <w:color w:val="000000"/>
          <w:kern w:val="0"/>
          <w:sz w:val="24"/>
          <w:highlight w:val="none"/>
        </w:rPr>
        <w:t>（招标人名称）：</w:t>
      </w:r>
    </w:p>
    <w:p w14:paraId="31857E72">
      <w:pPr>
        <w:autoSpaceDE w:val="0"/>
        <w:autoSpaceDN w:val="0"/>
        <w:adjustRightInd w:val="0"/>
        <w:snapToGrid w:val="0"/>
        <w:spacing w:line="360" w:lineRule="auto"/>
        <w:ind w:firstLine="480"/>
        <w:textAlignment w:val="baseline"/>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本投标人</w:t>
      </w:r>
      <w:r>
        <w:rPr>
          <w:rFonts w:hint="eastAsia" w:ascii="宋体" w:hAnsi="宋体" w:eastAsia="宋体" w:cs="宋体"/>
          <w:snapToGrid w:val="0"/>
          <w:color w:val="000000"/>
          <w:kern w:val="0"/>
          <w:sz w:val="24"/>
          <w:highlight w:val="none"/>
          <w:u w:val="single"/>
        </w:rPr>
        <w:t xml:space="preserve">                             </w:t>
      </w:r>
      <w:r>
        <w:rPr>
          <w:rFonts w:hint="eastAsia" w:ascii="宋体" w:hAnsi="宋体" w:eastAsia="宋体" w:cs="宋体"/>
          <w:snapToGrid w:val="0"/>
          <w:color w:val="000000"/>
          <w:kern w:val="0"/>
          <w:sz w:val="24"/>
          <w:highlight w:val="none"/>
        </w:rPr>
        <w:t>（投标人名称）郑重承诺：</w:t>
      </w:r>
    </w:p>
    <w:p w14:paraId="2998352E">
      <w:pPr>
        <w:autoSpaceDE w:val="0"/>
        <w:autoSpaceDN w:val="0"/>
        <w:adjustRightInd w:val="0"/>
        <w:snapToGrid w:val="0"/>
        <w:spacing w:line="360" w:lineRule="auto"/>
        <w:ind w:firstLine="480"/>
        <w:textAlignment w:val="baseline"/>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本投标人未被本项目所在地（县级、市级、省级）限制投标。如有不实，愿意被取消中标资格并上报行政主管部门，由行政主管部门列入不良行为记录。</w:t>
      </w:r>
    </w:p>
    <w:p w14:paraId="078CCE74">
      <w:pPr>
        <w:widowControl/>
        <w:ind w:right="480"/>
        <w:rPr>
          <w:rFonts w:hint="eastAsia" w:ascii="宋体" w:hAnsi="宋体" w:eastAsia="宋体" w:cs="宋体"/>
          <w:snapToGrid w:val="0"/>
          <w:color w:val="000000"/>
          <w:kern w:val="0"/>
          <w:sz w:val="24"/>
          <w:highlight w:val="none"/>
        </w:rPr>
      </w:pPr>
    </w:p>
    <w:p w14:paraId="1D8E39A0">
      <w:pPr>
        <w:adjustRightInd w:val="0"/>
        <w:snapToGrid w:val="0"/>
        <w:spacing w:line="586" w:lineRule="exact"/>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投  标  人（盖章）：</w:t>
      </w:r>
    </w:p>
    <w:p w14:paraId="67DB746A">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2F727ED4">
      <w:pPr>
        <w:pStyle w:val="42"/>
        <w:ind w:left="560"/>
        <w:jc w:val="right"/>
        <w:rPr>
          <w:rFonts w:ascii="宋体" w:hAnsi="宋体"/>
          <w:color w:val="auto"/>
          <w:sz w:val="24"/>
          <w:szCs w:val="24"/>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color w:val="auto"/>
          <w:sz w:val="24"/>
          <w:szCs w:val="24"/>
          <w:highlight w:val="none"/>
        </w:rPr>
        <w:t>年    月    日</w:t>
      </w:r>
    </w:p>
    <w:p w14:paraId="43394F91">
      <w:pPr>
        <w:tabs>
          <w:tab w:val="left" w:pos="739"/>
        </w:tabs>
        <w:spacing w:line="320" w:lineRule="exact"/>
        <w:rPr>
          <w:rFonts w:ascii="宋体" w:hAnsi="宋体"/>
          <w:color w:val="auto"/>
          <w:sz w:val="24"/>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w:t>
      </w:r>
    </w:p>
    <w:p w14:paraId="23F5B96D">
      <w:pPr>
        <w:spacing w:line="360" w:lineRule="atLeast"/>
        <w:ind w:left="-280" w:leftChars="-100" w:firstLine="602" w:firstLineChars="200"/>
        <w:jc w:val="center"/>
        <w:rPr>
          <w:rFonts w:hint="eastAsia" w:ascii="宋体" w:hAnsi="宋体" w:eastAsia="宋体"/>
          <w:b/>
          <w:color w:val="auto"/>
          <w:sz w:val="30"/>
          <w:highlight w:val="none"/>
          <w:u w:val="none"/>
          <w:lang w:eastAsia="zh-CN"/>
        </w:rPr>
      </w:pPr>
      <w:r>
        <w:rPr>
          <w:rFonts w:hint="eastAsia" w:ascii="宋体" w:hAnsi="宋体"/>
          <w:b/>
          <w:color w:val="auto"/>
          <w:sz w:val="30"/>
          <w:highlight w:val="none"/>
          <w:u w:val="none"/>
          <w:lang w:eastAsia="zh-CN"/>
        </w:rPr>
        <w:t>台州国际博览中心水电气接驳（含维保）服务商采购项目</w:t>
      </w:r>
    </w:p>
    <w:p w14:paraId="7436A334">
      <w:pPr>
        <w:spacing w:line="360" w:lineRule="atLeast"/>
        <w:ind w:firstLine="602" w:firstLineChars="200"/>
        <w:jc w:val="center"/>
        <w:rPr>
          <w:rFonts w:ascii="宋体" w:hAnsi="宋体"/>
          <w:b/>
          <w:color w:val="auto"/>
          <w:sz w:val="24"/>
          <w:highlight w:val="none"/>
        </w:rPr>
      </w:pPr>
      <w:r>
        <w:rPr>
          <w:rFonts w:hint="eastAsia" w:ascii="宋体" w:hAnsi="宋体"/>
          <w:b/>
          <w:color w:val="auto"/>
          <w:sz w:val="30"/>
          <w:highlight w:val="none"/>
        </w:rPr>
        <w:t>开标一览表</w:t>
      </w:r>
    </w:p>
    <w:p w14:paraId="3D50B3BA">
      <w:pPr>
        <w:snapToGrid w:val="0"/>
        <w:spacing w:before="50" w:after="50"/>
        <w:ind w:firstLine="480" w:firstLineChars="200"/>
        <w:jc w:val="left"/>
        <w:rPr>
          <w:rFonts w:ascii="Arial" w:hAnsi="Arial" w:cs="Arial"/>
          <w:color w:val="auto"/>
          <w:sz w:val="24"/>
          <w:highlight w:val="none"/>
        </w:rPr>
      </w:pPr>
      <w:r>
        <w:rPr>
          <w:rFonts w:hint="eastAsia" w:ascii="Arial" w:hAnsi="Arial" w:cs="Arial"/>
          <w:color w:val="auto"/>
          <w:sz w:val="24"/>
          <w:highlight w:val="none"/>
        </w:rPr>
        <w:t>致：</w:t>
      </w:r>
      <w:r>
        <w:rPr>
          <w:rFonts w:hint="eastAsia" w:ascii="Arial" w:hAnsi="Arial" w:cs="Arial"/>
          <w:bCs/>
          <w:color w:val="auto"/>
          <w:sz w:val="24"/>
          <w:highlight w:val="none"/>
          <w:u w:val="single"/>
          <w:lang w:eastAsia="zh-CN"/>
        </w:rPr>
        <w:t>浙江台博会展有限公司</w:t>
      </w:r>
      <w:r>
        <w:rPr>
          <w:rFonts w:hint="eastAsia" w:ascii="Arial" w:hAnsi="Arial" w:cs="Arial"/>
          <w:bCs/>
          <w:color w:val="auto"/>
          <w:sz w:val="24"/>
          <w:highlight w:val="none"/>
        </w:rPr>
        <w:t>：</w:t>
      </w:r>
    </w:p>
    <w:p w14:paraId="0DBF4D6A">
      <w:pPr>
        <w:snapToGrid w:val="0"/>
        <w:ind w:firstLine="480" w:firstLineChars="200"/>
        <w:jc w:val="left"/>
        <w:rPr>
          <w:rFonts w:ascii="新宋体" w:hAnsi="新宋体" w:eastAsia="新宋体"/>
          <w:color w:val="auto"/>
          <w:sz w:val="22"/>
          <w:szCs w:val="22"/>
          <w:highlight w:val="none"/>
        </w:rPr>
      </w:pPr>
      <w:r>
        <w:rPr>
          <w:rFonts w:hint="eastAsia" w:ascii="Arial" w:hAnsi="Arial" w:cs="Arial"/>
          <w:color w:val="auto"/>
          <w:sz w:val="24"/>
          <w:highlight w:val="none"/>
        </w:rPr>
        <w:t>经研究，我们决定参加你单位的</w:t>
      </w:r>
      <w:r>
        <w:rPr>
          <w:rFonts w:hint="eastAsia" w:ascii="Arial" w:hAnsi="Arial" w:cs="Arial"/>
          <w:color w:val="auto"/>
          <w:sz w:val="24"/>
          <w:highlight w:val="none"/>
          <w:u w:val="single"/>
          <w:lang w:eastAsia="zh-CN"/>
        </w:rPr>
        <w:t>台州国际博览中心水电气接驳（含维保）服务商采购项目</w:t>
      </w:r>
      <w:r>
        <w:rPr>
          <w:rFonts w:hint="eastAsia" w:ascii="Arial" w:hAnsi="Arial" w:cs="Arial"/>
          <w:color w:val="auto"/>
          <w:sz w:val="24"/>
          <w:highlight w:val="none"/>
        </w:rPr>
        <w:t>的</w:t>
      </w:r>
      <w:r>
        <w:rPr>
          <w:rFonts w:hint="eastAsia" w:ascii="Arial" w:hAnsi="Arial" w:cs="Arial"/>
          <w:color w:val="auto"/>
          <w:sz w:val="24"/>
          <w:szCs w:val="28"/>
          <w:highlight w:val="none"/>
        </w:rPr>
        <w:t>招标采购活动并提交投标文件。为此，我方郑重声明以下诸点，并负法律责任。</w:t>
      </w:r>
    </w:p>
    <w:p w14:paraId="43511F39">
      <w:pPr>
        <w:pStyle w:val="24"/>
        <w:adjustRightInd w:val="0"/>
        <w:snapToGrid w:val="0"/>
        <w:spacing w:line="240" w:lineRule="auto"/>
        <w:rPr>
          <w:rFonts w:ascii="Arial" w:hAnsi="Arial" w:cs="Arial"/>
          <w:color w:val="auto"/>
          <w:spacing w:val="0"/>
          <w:sz w:val="24"/>
          <w:szCs w:val="24"/>
          <w:highlight w:val="none"/>
        </w:rPr>
      </w:pPr>
      <w:r>
        <w:rPr>
          <w:rFonts w:ascii="Arial" w:hAnsi="Arial" w:cs="Arial"/>
          <w:color w:val="auto"/>
          <w:spacing w:val="0"/>
          <w:sz w:val="24"/>
          <w:szCs w:val="24"/>
          <w:highlight w:val="none"/>
        </w:rPr>
        <w:t>1</w:t>
      </w:r>
      <w:r>
        <w:rPr>
          <w:rFonts w:hAnsi="宋体" w:cs="Arial"/>
          <w:color w:val="auto"/>
          <w:spacing w:val="0"/>
          <w:sz w:val="24"/>
          <w:szCs w:val="24"/>
          <w:highlight w:val="none"/>
        </w:rPr>
        <w:t>、如果我们的</w:t>
      </w:r>
      <w:r>
        <w:rPr>
          <w:rFonts w:hint="eastAsia" w:hAnsi="宋体" w:cs="Arial"/>
          <w:color w:val="auto"/>
          <w:spacing w:val="0"/>
          <w:sz w:val="24"/>
          <w:szCs w:val="24"/>
          <w:highlight w:val="none"/>
        </w:rPr>
        <w:t>投</w:t>
      </w:r>
      <w:r>
        <w:rPr>
          <w:rFonts w:hAnsi="宋体" w:cs="Arial"/>
          <w:color w:val="auto"/>
          <w:spacing w:val="0"/>
          <w:sz w:val="24"/>
          <w:szCs w:val="24"/>
          <w:highlight w:val="none"/>
        </w:rPr>
        <w:t>标文件被接受，我们将履行招标文件中规定的每一项要求，并按我们投标文件中的承诺按期、按质、按量提供</w:t>
      </w:r>
      <w:r>
        <w:rPr>
          <w:rFonts w:hint="eastAsia" w:hAnsi="宋体" w:cs="Arial"/>
          <w:color w:val="auto"/>
          <w:spacing w:val="0"/>
          <w:sz w:val="24"/>
          <w:szCs w:val="24"/>
          <w:highlight w:val="none"/>
          <w:lang w:val="en-US" w:eastAsia="zh-CN"/>
        </w:rPr>
        <w:t>服务</w:t>
      </w:r>
      <w:r>
        <w:rPr>
          <w:rFonts w:hAnsi="宋体" w:cs="Arial"/>
          <w:color w:val="auto"/>
          <w:spacing w:val="0"/>
          <w:sz w:val="24"/>
          <w:szCs w:val="24"/>
          <w:highlight w:val="none"/>
        </w:rPr>
        <w:t>。</w:t>
      </w:r>
    </w:p>
    <w:p w14:paraId="1E114FA7">
      <w:pPr>
        <w:pStyle w:val="24"/>
        <w:adjustRightInd w:val="0"/>
        <w:snapToGrid w:val="0"/>
        <w:spacing w:line="240" w:lineRule="auto"/>
        <w:ind w:firstLine="309" w:firstLineChars="129"/>
        <w:rPr>
          <w:rFonts w:ascii="Arial" w:hAnsi="Arial" w:cs="Arial"/>
          <w:color w:val="auto"/>
          <w:spacing w:val="0"/>
          <w:sz w:val="24"/>
          <w:szCs w:val="24"/>
          <w:highlight w:val="none"/>
        </w:rPr>
      </w:pPr>
      <w:r>
        <w:rPr>
          <w:rFonts w:ascii="Arial" w:hAnsi="Arial" w:cs="Arial"/>
          <w:color w:val="auto"/>
          <w:spacing w:val="0"/>
          <w:sz w:val="24"/>
          <w:szCs w:val="24"/>
          <w:highlight w:val="none"/>
        </w:rPr>
        <w:t>2</w:t>
      </w:r>
      <w:r>
        <w:rPr>
          <w:rFonts w:hAnsi="宋体" w:cs="Arial"/>
          <w:color w:val="auto"/>
          <w:spacing w:val="0"/>
          <w:sz w:val="24"/>
          <w:szCs w:val="24"/>
          <w:highlight w:val="none"/>
        </w:rPr>
        <w:t>、我们同意按</w:t>
      </w:r>
      <w:r>
        <w:rPr>
          <w:rFonts w:hint="eastAsia" w:hAnsi="宋体" w:cs="Arial"/>
          <w:color w:val="auto"/>
          <w:spacing w:val="0"/>
          <w:sz w:val="24"/>
          <w:szCs w:val="24"/>
          <w:highlight w:val="none"/>
        </w:rPr>
        <w:t>招标文件</w:t>
      </w:r>
      <w:r>
        <w:rPr>
          <w:rFonts w:hAnsi="宋体" w:cs="Arial"/>
          <w:color w:val="auto"/>
          <w:spacing w:val="0"/>
          <w:sz w:val="24"/>
          <w:szCs w:val="24"/>
          <w:highlight w:val="none"/>
        </w:rPr>
        <w:t>规定遵守</w:t>
      </w:r>
      <w:r>
        <w:rPr>
          <w:rFonts w:hint="eastAsia" w:hAnsi="宋体" w:cs="Arial"/>
          <w:color w:val="auto"/>
          <w:spacing w:val="0"/>
          <w:sz w:val="24"/>
          <w:szCs w:val="24"/>
          <w:highlight w:val="none"/>
          <w:lang w:eastAsia="zh-CN"/>
        </w:rPr>
        <w:t>招标人</w:t>
      </w:r>
      <w:r>
        <w:rPr>
          <w:rFonts w:hAnsi="宋体" w:cs="Arial"/>
          <w:color w:val="auto"/>
          <w:spacing w:val="0"/>
          <w:sz w:val="24"/>
          <w:szCs w:val="24"/>
          <w:highlight w:val="none"/>
        </w:rPr>
        <w:t>有关采购的各项规定。</w:t>
      </w:r>
    </w:p>
    <w:p w14:paraId="64366C77">
      <w:pPr>
        <w:pStyle w:val="24"/>
        <w:adjustRightInd w:val="0"/>
        <w:snapToGrid w:val="0"/>
        <w:spacing w:line="240" w:lineRule="auto"/>
        <w:ind w:firstLine="300" w:firstLineChars="125"/>
        <w:rPr>
          <w:rFonts w:ascii="Arial" w:hAnsi="Arial" w:cs="Arial"/>
          <w:color w:val="auto"/>
          <w:sz w:val="24"/>
          <w:szCs w:val="24"/>
          <w:highlight w:val="none"/>
        </w:rPr>
      </w:pPr>
      <w:r>
        <w:rPr>
          <w:rFonts w:ascii="Arial" w:hAnsi="Arial" w:cs="Arial"/>
          <w:color w:val="auto"/>
          <w:spacing w:val="0"/>
          <w:sz w:val="24"/>
          <w:szCs w:val="24"/>
          <w:highlight w:val="none"/>
        </w:rPr>
        <w:t>3</w:t>
      </w:r>
      <w:r>
        <w:rPr>
          <w:rFonts w:hAnsi="宋体" w:cs="Arial"/>
          <w:color w:val="auto"/>
          <w:spacing w:val="0"/>
          <w:sz w:val="24"/>
          <w:szCs w:val="24"/>
          <w:highlight w:val="none"/>
        </w:rPr>
        <w:t>、</w:t>
      </w:r>
      <w:r>
        <w:rPr>
          <w:rFonts w:hAnsi="宋体" w:cs="Arial"/>
          <w:color w:val="auto"/>
          <w:sz w:val="24"/>
          <w:szCs w:val="24"/>
          <w:highlight w:val="none"/>
        </w:rPr>
        <w:t>我方同意提供按照贵方可能要求的与投标有关的一切数据或资料，</w:t>
      </w:r>
      <w:r>
        <w:rPr>
          <w:rFonts w:hAnsi="宋体" w:cs="Arial"/>
          <w:color w:val="auto"/>
          <w:spacing w:val="0"/>
          <w:sz w:val="24"/>
          <w:szCs w:val="24"/>
          <w:highlight w:val="none"/>
        </w:rPr>
        <w:t>我方若未成为成交投标人，</w:t>
      </w:r>
      <w:r>
        <w:rPr>
          <w:rFonts w:hint="eastAsia" w:hAnsi="宋体" w:cs="Arial"/>
          <w:color w:val="auto"/>
          <w:spacing w:val="0"/>
          <w:sz w:val="24"/>
          <w:szCs w:val="24"/>
          <w:highlight w:val="none"/>
          <w:lang w:eastAsia="zh-CN"/>
        </w:rPr>
        <w:t>招标人</w:t>
      </w:r>
      <w:r>
        <w:rPr>
          <w:rFonts w:hAnsi="宋体" w:cs="Arial"/>
          <w:color w:val="auto"/>
          <w:spacing w:val="0"/>
          <w:sz w:val="24"/>
          <w:szCs w:val="24"/>
          <w:highlight w:val="none"/>
        </w:rPr>
        <w:t>有权不</w:t>
      </w:r>
      <w:r>
        <w:rPr>
          <w:rFonts w:hint="eastAsia" w:hAnsi="宋体" w:cs="Arial"/>
          <w:color w:val="auto"/>
          <w:spacing w:val="0"/>
          <w:sz w:val="24"/>
          <w:szCs w:val="24"/>
          <w:highlight w:val="none"/>
        </w:rPr>
        <w:t>作</w:t>
      </w:r>
      <w:r>
        <w:rPr>
          <w:rFonts w:hAnsi="宋体" w:cs="Arial"/>
          <w:color w:val="auto"/>
          <w:spacing w:val="0"/>
          <w:sz w:val="24"/>
          <w:szCs w:val="24"/>
          <w:highlight w:val="none"/>
        </w:rPr>
        <w:t>任何解释。</w:t>
      </w:r>
    </w:p>
    <w:p w14:paraId="6AE9C71C">
      <w:pPr>
        <w:ind w:firstLine="360" w:firstLineChars="150"/>
        <w:rPr>
          <w:rFonts w:ascii="楷体_GB2312" w:eastAsia="楷体_GB2312"/>
          <w:b/>
          <w:color w:val="auto"/>
          <w:szCs w:val="28"/>
          <w:highlight w:val="none"/>
        </w:rPr>
      </w:pPr>
      <w:r>
        <w:rPr>
          <w:rFonts w:hint="eastAsia" w:ascii="Arial" w:hAnsi="Arial" w:cs="Arial"/>
          <w:color w:val="auto"/>
          <w:sz w:val="24"/>
          <w:highlight w:val="none"/>
        </w:rPr>
        <w:t>4</w:t>
      </w:r>
      <w:r>
        <w:rPr>
          <w:rFonts w:hint="eastAsia" w:ascii="宋体" w:hAnsi="宋体" w:cs="Arial"/>
          <w:color w:val="auto"/>
          <w:sz w:val="24"/>
          <w:highlight w:val="none"/>
        </w:rPr>
        <w:t>、我方如果中标，将保证履行招标文件以及招标文件修改书（如有）中的全部责任和义务，按质、按量、按期完成《合同书》中的全部任务。</w:t>
      </w:r>
      <w:r>
        <w:rPr>
          <w:rFonts w:hint="eastAsia" w:ascii="楷体_GB2312" w:eastAsia="楷体_GB2312"/>
          <w:b/>
          <w:color w:val="auto"/>
          <w:szCs w:val="28"/>
          <w:highlight w:val="non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49"/>
      </w:tblGrid>
      <w:tr w14:paraId="08A3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2E4D5C1E">
            <w:pPr>
              <w:spacing w:line="360" w:lineRule="auto"/>
              <w:outlineLvl w:val="0"/>
              <w:rPr>
                <w:rFonts w:ascii="宋体" w:hAnsi="宋体"/>
                <w:color w:val="auto"/>
                <w:sz w:val="24"/>
                <w:szCs w:val="21"/>
                <w:highlight w:val="none"/>
              </w:rPr>
            </w:pPr>
            <w:r>
              <w:rPr>
                <w:rFonts w:hint="eastAsia" w:ascii="宋体" w:hAnsi="宋体"/>
                <w:color w:val="auto"/>
                <w:sz w:val="24"/>
                <w:szCs w:val="21"/>
                <w:highlight w:val="none"/>
              </w:rPr>
              <w:t>1、投标总报价</w:t>
            </w:r>
          </w:p>
        </w:tc>
        <w:tc>
          <w:tcPr>
            <w:tcW w:w="7349" w:type="dxa"/>
            <w:tcBorders>
              <w:top w:val="single" w:color="auto" w:sz="4" w:space="0"/>
              <w:left w:val="single" w:color="auto" w:sz="4" w:space="0"/>
              <w:bottom w:val="single" w:color="auto" w:sz="4" w:space="0"/>
              <w:right w:val="single" w:color="auto" w:sz="4" w:space="0"/>
            </w:tcBorders>
            <w:vAlign w:val="center"/>
          </w:tcPr>
          <w:p w14:paraId="49D25646">
            <w:pPr>
              <w:wordWrap w:val="0"/>
              <w:ind w:right="420"/>
              <w:jc w:val="center"/>
              <w:outlineLvl w:val="0"/>
              <w:rPr>
                <w:rFonts w:hint="eastAsia" w:ascii="宋体" w:hAnsi="宋体" w:eastAsia="宋体"/>
                <w:bCs/>
                <w:color w:val="auto"/>
                <w:sz w:val="21"/>
                <w:szCs w:val="21"/>
                <w:highlight w:val="none"/>
                <w:lang w:eastAsia="zh-CN"/>
              </w:rPr>
            </w:pPr>
            <w:r>
              <w:rPr>
                <w:rFonts w:hint="eastAsia" w:ascii="宋体" w:hAnsi="宋体"/>
                <w:color w:val="auto"/>
                <w:sz w:val="24"/>
                <w:highlight w:val="none"/>
              </w:rPr>
              <w:t>大写：百分之</w:t>
            </w:r>
            <w:r>
              <w:rPr>
                <w:rFonts w:hint="eastAsia" w:ascii="宋体" w:hAnsi="宋体"/>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lang w:val="en-US" w:eastAsia="zh-CN"/>
              </w:rPr>
              <w:t>%</w:t>
            </w:r>
          </w:p>
        </w:tc>
      </w:tr>
      <w:tr w14:paraId="00AD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A162A3C">
            <w:pPr>
              <w:spacing w:line="360" w:lineRule="auto"/>
              <w:outlineLvl w:val="0"/>
              <w:rPr>
                <w:rFonts w:hint="eastAsia"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服务期</w:t>
            </w:r>
          </w:p>
        </w:tc>
        <w:tc>
          <w:tcPr>
            <w:tcW w:w="7349" w:type="dxa"/>
            <w:tcBorders>
              <w:top w:val="single" w:color="auto" w:sz="4" w:space="0"/>
              <w:left w:val="single" w:color="auto" w:sz="4" w:space="0"/>
              <w:bottom w:val="single" w:color="auto" w:sz="4" w:space="0"/>
              <w:right w:val="single" w:color="auto" w:sz="4" w:space="0"/>
            </w:tcBorders>
            <w:vAlign w:val="center"/>
          </w:tcPr>
          <w:p w14:paraId="61515565">
            <w:pPr>
              <w:jc w:val="center"/>
              <w:rPr>
                <w:rFonts w:hint="eastAsia" w:ascii="宋体" w:hAnsi="宋体"/>
                <w:color w:val="auto"/>
                <w:sz w:val="24"/>
                <w:szCs w:val="21"/>
                <w:highlight w:val="none"/>
              </w:rPr>
            </w:pPr>
            <w:r>
              <w:rPr>
                <w:rFonts w:hint="eastAsia" w:ascii="宋体" w:hAnsi="宋体"/>
                <w:color w:val="auto"/>
                <w:sz w:val="24"/>
                <w:highlight w:val="none"/>
              </w:rPr>
              <w:t>满足要求</w:t>
            </w:r>
          </w:p>
        </w:tc>
      </w:tr>
      <w:tr w14:paraId="1CAB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675F2E78">
            <w:pPr>
              <w:snapToGrid w:val="0"/>
              <w:spacing w:before="50" w:after="50"/>
              <w:rPr>
                <w:rFonts w:ascii="宋体" w:hAnsi="宋体"/>
                <w:color w:val="auto"/>
                <w:sz w:val="24"/>
                <w:szCs w:val="21"/>
                <w:highlight w:val="none"/>
              </w:rPr>
            </w:pPr>
            <w:r>
              <w:rPr>
                <w:rFonts w:hint="eastAsia" w:ascii="宋体" w:hAnsi="宋体"/>
                <w:color w:val="auto"/>
                <w:sz w:val="24"/>
                <w:szCs w:val="21"/>
                <w:highlight w:val="none"/>
              </w:rPr>
              <w:t>3、质量等级</w:t>
            </w:r>
          </w:p>
        </w:tc>
        <w:tc>
          <w:tcPr>
            <w:tcW w:w="7349" w:type="dxa"/>
            <w:tcBorders>
              <w:top w:val="single" w:color="auto" w:sz="4" w:space="0"/>
              <w:left w:val="single" w:color="auto" w:sz="4" w:space="0"/>
              <w:bottom w:val="single" w:color="auto" w:sz="4" w:space="0"/>
              <w:right w:val="single" w:color="auto" w:sz="4" w:space="0"/>
            </w:tcBorders>
            <w:vAlign w:val="center"/>
          </w:tcPr>
          <w:p w14:paraId="0E5DB6BC">
            <w:pPr>
              <w:snapToGrid w:val="0"/>
              <w:spacing w:before="50" w:after="50"/>
              <w:jc w:val="center"/>
              <w:rPr>
                <w:rFonts w:ascii="宋体" w:hAnsi="宋体"/>
                <w:color w:val="auto"/>
                <w:sz w:val="24"/>
                <w:szCs w:val="21"/>
                <w:highlight w:val="none"/>
              </w:rPr>
            </w:pPr>
            <w:r>
              <w:rPr>
                <w:rFonts w:hint="eastAsia" w:ascii="宋体" w:hAnsi="宋体"/>
                <w:color w:val="auto"/>
                <w:sz w:val="24"/>
                <w:highlight w:val="none"/>
              </w:rPr>
              <w:t>符合要求</w:t>
            </w:r>
          </w:p>
        </w:tc>
      </w:tr>
    </w:tbl>
    <w:p w14:paraId="53975F57">
      <w:pPr>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注</w:t>
      </w:r>
      <w:r>
        <w:rPr>
          <w:rFonts w:hint="eastAsia" w:ascii="宋体" w:hAnsi="宋体" w:eastAsia="宋体"/>
          <w:color w:val="auto"/>
          <w:sz w:val="24"/>
          <w:highlight w:val="none"/>
          <w:lang w:eastAsia="zh-CN"/>
        </w:rPr>
        <w:t>：</w:t>
      </w:r>
      <w:r>
        <w:rPr>
          <w:rFonts w:hint="eastAsia" w:ascii="宋体" w:hAnsi="宋体" w:eastAsia="宋体"/>
          <w:b w:val="0"/>
          <w:bCs w:val="0"/>
          <w:color w:val="auto"/>
          <w:sz w:val="24"/>
          <w:highlight w:val="none"/>
          <w:lang w:val="en-US" w:eastAsia="zh-CN"/>
        </w:rPr>
        <w:t>1.</w:t>
      </w:r>
      <w:r>
        <w:rPr>
          <w:rFonts w:hint="eastAsia" w:ascii="宋体" w:hAnsi="宋体" w:eastAsia="宋体" w:cs="宋体"/>
          <w:b w:val="0"/>
          <w:bCs w:val="0"/>
          <w:color w:val="auto"/>
          <w:sz w:val="24"/>
          <w:szCs w:val="24"/>
          <w:highlight w:val="none"/>
          <w:lang w:val="en-US" w:eastAsia="zh-CN"/>
        </w:rPr>
        <w:t>报价百分号前保留</w:t>
      </w:r>
      <w:r>
        <w:rPr>
          <w:rFonts w:hint="eastAsia" w:ascii="宋体" w:hAnsi="宋体" w:cs="宋体"/>
          <w:b w:val="0"/>
          <w:bCs w:val="0"/>
          <w:color w:val="auto"/>
          <w:sz w:val="24"/>
          <w:szCs w:val="24"/>
          <w:highlight w:val="none"/>
          <w:lang w:val="en-US" w:eastAsia="zh-CN"/>
        </w:rPr>
        <w:t>整</w:t>
      </w:r>
      <w:r>
        <w:rPr>
          <w:rFonts w:hint="eastAsia" w:ascii="宋体" w:hAnsi="宋体" w:eastAsia="宋体" w:cs="宋体"/>
          <w:b w:val="0"/>
          <w:bCs w:val="0"/>
          <w:color w:val="auto"/>
          <w:sz w:val="24"/>
          <w:szCs w:val="24"/>
          <w:highlight w:val="none"/>
          <w:lang w:val="en-US" w:eastAsia="zh-CN"/>
        </w:rPr>
        <w:t>数</w:t>
      </w:r>
      <w:r>
        <w:rPr>
          <w:rFonts w:hint="eastAsia" w:ascii="宋体" w:hAnsi="宋体" w:cs="宋体"/>
          <w:b w:val="0"/>
          <w:bCs w:val="0"/>
          <w:color w:val="auto"/>
          <w:sz w:val="24"/>
          <w:szCs w:val="24"/>
          <w:highlight w:val="none"/>
          <w:lang w:val="en-US" w:eastAsia="zh-CN"/>
        </w:rPr>
        <w:t>（未按要求报价的，作无效标处理）。</w:t>
      </w:r>
    </w:p>
    <w:p w14:paraId="479E2106">
      <w:pPr>
        <w:numPr>
          <w:ilvl w:val="0"/>
          <w:numId w:val="0"/>
        </w:numPr>
        <w:ind w:firstLine="960" w:firstLineChars="400"/>
        <w:rPr>
          <w:rFonts w:hint="eastAsia" w:ascii="宋体" w:hAnsi="宋体" w:eastAsia="宋体"/>
          <w:color w:val="auto"/>
          <w:sz w:val="24"/>
          <w:highlight w:val="none"/>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eastAsia="宋体"/>
          <w:color w:val="auto"/>
          <w:sz w:val="24"/>
          <w:highlight w:val="none"/>
        </w:rPr>
        <w:t>报价一经涂改，应在涂改处加盖单位公章或者由法定代表人或授权委托人签字或盖章，否则其投标作无效标处理。</w:t>
      </w:r>
    </w:p>
    <w:p w14:paraId="6A9D4604">
      <w:pPr>
        <w:pStyle w:val="57"/>
        <w:numPr>
          <w:ilvl w:val="0"/>
          <w:numId w:val="0"/>
        </w:numPr>
        <w:ind w:firstLine="960" w:firstLineChars="4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本项目采用合作分成模式，招标人依照对应展会、活动、会议等项目的配水、电、气收入与投标人进行分成结算。投标分成费率：投标人就其收取的分成比例进行费率报价，单位为n%（n精确到个位数），合同签订后依照所报费率及实际配水、电、气收入情况据实结算。</w:t>
      </w:r>
    </w:p>
    <w:p w14:paraId="787AF737">
      <w:pPr>
        <w:rPr>
          <w:color w:val="auto"/>
          <w:highlight w:val="none"/>
        </w:rPr>
      </w:pPr>
    </w:p>
    <w:p w14:paraId="17E03A2B">
      <w:pPr>
        <w:spacing w:line="360" w:lineRule="auto"/>
        <w:ind w:left="420" w:firstLine="480" w:firstLineChars="200"/>
        <w:rPr>
          <w:rFonts w:ascii="宋体" w:hAnsi="宋体"/>
          <w:color w:val="auto"/>
          <w:sz w:val="24"/>
          <w:highlight w:val="none"/>
        </w:rPr>
      </w:pPr>
      <w:r>
        <w:rPr>
          <w:rFonts w:hint="eastAsia" w:ascii="宋体" w:hAnsi="宋体"/>
          <w:color w:val="auto"/>
          <w:sz w:val="24"/>
          <w:highlight w:val="none"/>
        </w:rPr>
        <w:t xml:space="preserve">投标人（盖章）：     </w:t>
      </w:r>
    </w:p>
    <w:p w14:paraId="0C054F33">
      <w:pPr>
        <w:spacing w:line="360" w:lineRule="auto"/>
        <w:ind w:left="420" w:firstLine="480" w:firstLineChars="200"/>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0707DA90">
      <w:pPr>
        <w:spacing w:line="360" w:lineRule="auto"/>
        <w:ind w:left="420" w:firstLine="480" w:firstLineChars="200"/>
        <w:jc w:val="right"/>
        <w:rPr>
          <w:rFonts w:ascii="宋体" w:hAnsi="宋体"/>
          <w:color w:val="auto"/>
          <w:sz w:val="24"/>
          <w:highlight w:val="none"/>
        </w:rPr>
      </w:pPr>
      <w:r>
        <w:rPr>
          <w:rFonts w:hint="eastAsia" w:ascii="宋体" w:hAnsi="宋体"/>
          <w:color w:val="auto"/>
          <w:sz w:val="24"/>
          <w:highlight w:val="none"/>
          <w:lang w:val="en-US" w:eastAsia="zh-CN"/>
        </w:rPr>
        <w:t>年    月    日</w:t>
      </w:r>
      <w:r>
        <w:rPr>
          <w:rFonts w:hint="eastAsia" w:ascii="宋体" w:hAnsi="宋体"/>
          <w:color w:val="auto"/>
          <w:sz w:val="24"/>
          <w:highlight w:val="none"/>
        </w:rPr>
        <w:t xml:space="preserve">                 </w:t>
      </w:r>
    </w:p>
    <w:p w14:paraId="62A0443F">
      <w:pPr>
        <w:spacing w:line="360" w:lineRule="auto"/>
        <w:rPr>
          <w:rFonts w:hint="eastAsia" w:ascii="宋体" w:hAnsi="宋体" w:cs="宋体"/>
          <w:color w:val="auto"/>
          <w:sz w:val="24"/>
          <w:highlight w:val="none"/>
        </w:rPr>
        <w:sectPr>
          <w:pgSz w:w="11905" w:h="16838"/>
          <w:pgMar w:top="1247" w:right="1361" w:bottom="1247" w:left="1361" w:header="851" w:footer="850" w:gutter="0"/>
          <w:pgBorders>
            <w:top w:val="none" w:sz="0" w:space="0"/>
            <w:left w:val="none" w:sz="0" w:space="0"/>
            <w:bottom w:val="none" w:sz="0" w:space="0"/>
            <w:right w:val="none" w:sz="0" w:space="0"/>
          </w:pgBorders>
          <w:pgNumType w:fmt="decimal"/>
          <w:cols w:space="0" w:num="1"/>
          <w:rtlGutter w:val="0"/>
          <w:docGrid w:type="lines" w:linePitch="382" w:charSpace="0"/>
        </w:sectPr>
      </w:pPr>
      <w:r>
        <w:rPr>
          <w:rFonts w:hint="eastAsia" w:ascii="宋体" w:hAnsi="宋体" w:cs="宋体"/>
          <w:color w:val="auto"/>
          <w:sz w:val="24"/>
          <w:highlight w:val="none"/>
        </w:rPr>
        <w:br w:type="page"/>
      </w:r>
    </w:p>
    <w:p w14:paraId="16CB85AA">
      <w:pPr>
        <w:rPr>
          <w:rFonts w:hint="eastAsia" w:ascii="宋体" w:hAnsi="宋体" w:cs="宋体"/>
          <w:color w:val="auto"/>
          <w:sz w:val="24"/>
          <w:highlight w:val="none"/>
        </w:rPr>
      </w:pPr>
    </w:p>
    <w:p w14:paraId="76B93B98">
      <w:pPr>
        <w:tabs>
          <w:tab w:val="left" w:pos="739"/>
        </w:tabs>
        <w:spacing w:line="32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 xml:space="preserve">： </w:t>
      </w:r>
    </w:p>
    <w:p w14:paraId="3666591E">
      <w:pPr>
        <w:spacing w:line="360" w:lineRule="auto"/>
        <w:jc w:val="center"/>
        <w:rPr>
          <w:rFonts w:hint="eastAsia" w:ascii="宋体" w:hAnsi="宋体" w:eastAsia="黑体" w:cs="宋体"/>
          <w:b/>
          <w:color w:val="auto"/>
          <w:szCs w:val="28"/>
          <w:highlight w:val="none"/>
          <w:lang w:eastAsia="zh-CN"/>
        </w:rPr>
      </w:pPr>
      <w:r>
        <w:rPr>
          <w:rFonts w:hint="eastAsia" w:ascii="宋体" w:hAnsi="宋体" w:eastAsia="黑体" w:cs="宋体"/>
          <w:b/>
          <w:color w:val="auto"/>
          <w:szCs w:val="28"/>
          <w:highlight w:val="none"/>
          <w:lang w:eastAsia="zh-CN"/>
        </w:rPr>
        <w:t>台州国际博览中心水电气接驳（含维保）服务商采购项目</w:t>
      </w:r>
    </w:p>
    <w:p w14:paraId="332D0BC9">
      <w:pPr>
        <w:spacing w:line="360" w:lineRule="auto"/>
        <w:jc w:val="center"/>
        <w:rPr>
          <w:rFonts w:ascii="宋体"/>
          <w:color w:val="auto"/>
          <w:kern w:val="0"/>
          <w:sz w:val="24"/>
          <w:highlight w:val="none"/>
        </w:rPr>
      </w:pPr>
      <w:r>
        <w:rPr>
          <w:rFonts w:hint="eastAsia" w:ascii="黑体" w:hAnsi="宋体" w:eastAsia="黑体"/>
          <w:b/>
          <w:color w:val="auto"/>
          <w:sz w:val="32"/>
          <w:szCs w:val="20"/>
          <w:highlight w:val="none"/>
        </w:rPr>
        <w:t>类似项目业绩一览表</w:t>
      </w:r>
    </w:p>
    <w:p w14:paraId="1B7F47E6">
      <w:pPr>
        <w:spacing w:line="211" w:lineRule="exact"/>
        <w:ind w:left="566"/>
        <w:rPr>
          <w:rFonts w:ascii="宋体" w:hAnsi="宋体" w:cs="宋体"/>
          <w:color w:val="auto"/>
          <w:spacing w:val="-6"/>
          <w:sz w:val="24"/>
          <w:highlight w:val="none"/>
        </w:rPr>
      </w:pPr>
    </w:p>
    <w:tbl>
      <w:tblPr>
        <w:tblStyle w:val="50"/>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63"/>
        <w:gridCol w:w="1404"/>
        <w:gridCol w:w="1262"/>
        <w:gridCol w:w="1263"/>
        <w:gridCol w:w="3262"/>
      </w:tblGrid>
      <w:tr w14:paraId="3F17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9" w:type="dxa"/>
            <w:vAlign w:val="center"/>
          </w:tcPr>
          <w:p w14:paraId="080B0F65">
            <w:pPr>
              <w:keepNext w:val="0"/>
              <w:keepLines w:val="0"/>
              <w:suppressLineNumbers w:val="0"/>
              <w:spacing w:before="0" w:beforeAutospacing="0" w:after="0" w:afterAutospacing="0" w:line="283" w:lineRule="exact"/>
              <w:ind w:left="0" w:right="-239"/>
              <w:jc w:val="left"/>
              <w:rPr>
                <w:rFonts w:hint="default"/>
                <w:color w:val="auto"/>
                <w:sz w:val="24"/>
                <w:highlight w:val="none"/>
              </w:rPr>
            </w:pPr>
            <w:r>
              <w:rPr>
                <w:rFonts w:hint="eastAsia" w:ascii="宋体" w:hAnsi="宋体" w:cs="宋体"/>
                <w:color w:val="auto"/>
                <w:spacing w:val="-6"/>
                <w:sz w:val="24"/>
                <w:highlight w:val="none"/>
              </w:rPr>
              <w:t>序号</w:t>
            </w:r>
          </w:p>
        </w:tc>
        <w:tc>
          <w:tcPr>
            <w:tcW w:w="1263" w:type="dxa"/>
            <w:vAlign w:val="center"/>
          </w:tcPr>
          <w:p w14:paraId="6EA7D4F7">
            <w:pPr>
              <w:keepNext w:val="0"/>
              <w:keepLines w:val="0"/>
              <w:suppressLineNumbers w:val="0"/>
              <w:spacing w:before="0" w:beforeAutospacing="0" w:after="0" w:afterAutospacing="0" w:line="437" w:lineRule="exact"/>
              <w:ind w:left="0" w:right="-239"/>
              <w:jc w:val="left"/>
              <w:rPr>
                <w:rFonts w:hint="default"/>
                <w:color w:val="auto"/>
                <w:sz w:val="24"/>
                <w:highlight w:val="none"/>
              </w:rPr>
            </w:pPr>
            <w:r>
              <w:rPr>
                <w:rFonts w:hint="eastAsia" w:ascii="宋体" w:hAnsi="宋体" w:cs="宋体"/>
                <w:color w:val="auto"/>
                <w:spacing w:val="-4"/>
                <w:sz w:val="24"/>
                <w:highlight w:val="none"/>
              </w:rPr>
              <w:t>项目名称</w:t>
            </w:r>
          </w:p>
        </w:tc>
        <w:tc>
          <w:tcPr>
            <w:tcW w:w="1404" w:type="dxa"/>
            <w:vAlign w:val="center"/>
          </w:tcPr>
          <w:p w14:paraId="2CA2A107">
            <w:pPr>
              <w:keepNext w:val="0"/>
              <w:keepLines w:val="0"/>
              <w:suppressLineNumbers w:val="0"/>
              <w:spacing w:before="0" w:beforeAutospacing="0" w:after="0" w:afterAutospacing="0" w:line="437" w:lineRule="exact"/>
              <w:ind w:left="0" w:right="-239"/>
              <w:jc w:val="left"/>
              <w:rPr>
                <w:rFonts w:hint="eastAsia" w:eastAsia="宋体"/>
                <w:color w:val="auto"/>
                <w:sz w:val="24"/>
                <w:highlight w:val="none"/>
                <w:lang w:eastAsia="zh-CN"/>
              </w:rPr>
            </w:pPr>
            <w:r>
              <w:rPr>
                <w:rFonts w:hint="eastAsia" w:ascii="宋体" w:hAnsi="宋体" w:cs="宋体"/>
                <w:color w:val="auto"/>
                <w:spacing w:val="-4"/>
                <w:sz w:val="24"/>
                <w:highlight w:val="none"/>
              </w:rPr>
              <w:t>项目</w:t>
            </w:r>
            <w:r>
              <w:rPr>
                <w:rFonts w:hint="eastAsia" w:ascii="宋体" w:hAnsi="宋体" w:cs="宋体"/>
                <w:color w:val="auto"/>
                <w:spacing w:val="-4"/>
                <w:sz w:val="24"/>
                <w:highlight w:val="none"/>
                <w:lang w:val="en-US" w:eastAsia="zh-CN"/>
              </w:rPr>
              <w:t>类型</w:t>
            </w:r>
          </w:p>
        </w:tc>
        <w:tc>
          <w:tcPr>
            <w:tcW w:w="1262" w:type="dxa"/>
            <w:vAlign w:val="center"/>
          </w:tcPr>
          <w:p w14:paraId="648FD818">
            <w:pPr>
              <w:keepNext w:val="0"/>
              <w:keepLines w:val="0"/>
              <w:suppressLineNumbers w:val="0"/>
              <w:spacing w:before="0" w:beforeAutospacing="0" w:after="0" w:afterAutospacing="0" w:line="437" w:lineRule="exact"/>
              <w:ind w:left="0" w:right="-239"/>
              <w:jc w:val="left"/>
              <w:rPr>
                <w:rFonts w:hint="default"/>
                <w:color w:val="auto"/>
                <w:sz w:val="24"/>
                <w:highlight w:val="none"/>
              </w:rPr>
            </w:pPr>
            <w:r>
              <w:rPr>
                <w:rFonts w:hint="eastAsia" w:ascii="宋体" w:hAnsi="宋体" w:cs="宋体"/>
                <w:color w:val="auto"/>
                <w:spacing w:val="-4"/>
                <w:sz w:val="24"/>
                <w:highlight w:val="none"/>
              </w:rPr>
              <w:t>合同总价</w:t>
            </w:r>
          </w:p>
        </w:tc>
        <w:tc>
          <w:tcPr>
            <w:tcW w:w="1263" w:type="dxa"/>
            <w:vAlign w:val="center"/>
          </w:tcPr>
          <w:p w14:paraId="4EE4599F">
            <w:pPr>
              <w:keepNext w:val="0"/>
              <w:keepLines w:val="0"/>
              <w:suppressLineNumbers w:val="0"/>
              <w:spacing w:before="0" w:beforeAutospacing="0" w:after="0" w:afterAutospacing="0" w:line="437" w:lineRule="exact"/>
              <w:ind w:left="0" w:right="-239"/>
              <w:jc w:val="left"/>
              <w:rPr>
                <w:rFonts w:hint="default"/>
                <w:color w:val="auto"/>
                <w:sz w:val="24"/>
                <w:highlight w:val="none"/>
              </w:rPr>
            </w:pPr>
            <w:r>
              <w:rPr>
                <w:rFonts w:hint="eastAsia" w:ascii="宋体" w:hAnsi="宋体" w:cs="宋体"/>
                <w:color w:val="auto"/>
                <w:spacing w:val="-4"/>
                <w:sz w:val="24"/>
                <w:highlight w:val="none"/>
                <w:lang w:val="en-US" w:eastAsia="zh-CN"/>
              </w:rPr>
              <w:t>签订</w:t>
            </w:r>
            <w:r>
              <w:rPr>
                <w:rFonts w:hint="eastAsia" w:ascii="宋体" w:hAnsi="宋体" w:cs="宋体"/>
                <w:color w:val="auto"/>
                <w:spacing w:val="-4"/>
                <w:sz w:val="24"/>
                <w:highlight w:val="none"/>
              </w:rPr>
              <w:t>时间</w:t>
            </w:r>
          </w:p>
        </w:tc>
        <w:tc>
          <w:tcPr>
            <w:tcW w:w="3262" w:type="dxa"/>
            <w:vAlign w:val="center"/>
          </w:tcPr>
          <w:p w14:paraId="6F746BA2">
            <w:pPr>
              <w:keepNext w:val="0"/>
              <w:keepLines w:val="0"/>
              <w:suppressLineNumbers w:val="0"/>
              <w:spacing w:before="0" w:beforeAutospacing="0" w:after="0" w:afterAutospacing="0" w:line="283" w:lineRule="exact"/>
              <w:ind w:left="0" w:right="-239"/>
              <w:jc w:val="left"/>
              <w:rPr>
                <w:rFonts w:hint="default"/>
                <w:color w:val="auto"/>
                <w:sz w:val="24"/>
                <w:highlight w:val="none"/>
              </w:rPr>
            </w:pPr>
            <w:r>
              <w:rPr>
                <w:rFonts w:hint="eastAsia" w:ascii="宋体" w:hAnsi="宋体" w:cs="宋体"/>
                <w:color w:val="auto"/>
                <w:spacing w:val="-5"/>
                <w:sz w:val="24"/>
                <w:highlight w:val="none"/>
              </w:rPr>
              <w:t>项目单位名称及其联系人电话</w:t>
            </w:r>
          </w:p>
        </w:tc>
      </w:tr>
      <w:tr w14:paraId="2C67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195EAC1F">
            <w:pPr>
              <w:keepNext w:val="0"/>
              <w:keepLines w:val="0"/>
              <w:suppressLineNumbers w:val="0"/>
              <w:spacing w:before="0" w:beforeAutospacing="0" w:after="0" w:afterAutospacing="0" w:line="211" w:lineRule="exact"/>
              <w:ind w:left="0" w:right="0"/>
              <w:jc w:val="center"/>
              <w:rPr>
                <w:rFonts w:hint="default" w:ascii="宋体" w:hAnsi="宋体" w:cs="宋体"/>
                <w:color w:val="auto"/>
                <w:spacing w:val="-6"/>
                <w:sz w:val="24"/>
                <w:highlight w:val="none"/>
              </w:rPr>
            </w:pPr>
          </w:p>
        </w:tc>
        <w:tc>
          <w:tcPr>
            <w:tcW w:w="1263" w:type="dxa"/>
          </w:tcPr>
          <w:p w14:paraId="4E279F4C">
            <w:pPr>
              <w:keepNext w:val="0"/>
              <w:keepLines w:val="0"/>
              <w:suppressLineNumbers w:val="0"/>
              <w:spacing w:before="0" w:beforeAutospacing="0" w:after="0" w:afterAutospacing="0" w:line="211" w:lineRule="exact"/>
              <w:ind w:left="0" w:right="0"/>
              <w:jc w:val="center"/>
              <w:rPr>
                <w:rFonts w:hint="default" w:ascii="宋体" w:hAnsi="宋体" w:cs="宋体"/>
                <w:color w:val="auto"/>
                <w:spacing w:val="-6"/>
                <w:sz w:val="24"/>
                <w:highlight w:val="none"/>
              </w:rPr>
            </w:pPr>
          </w:p>
        </w:tc>
        <w:tc>
          <w:tcPr>
            <w:tcW w:w="1404" w:type="dxa"/>
          </w:tcPr>
          <w:p w14:paraId="5F467098">
            <w:pPr>
              <w:keepNext w:val="0"/>
              <w:keepLines w:val="0"/>
              <w:suppressLineNumbers w:val="0"/>
              <w:spacing w:before="0" w:beforeAutospacing="0" w:after="0" w:afterAutospacing="0" w:line="211" w:lineRule="exact"/>
              <w:ind w:left="0" w:right="0"/>
              <w:jc w:val="center"/>
              <w:rPr>
                <w:rFonts w:hint="default" w:ascii="宋体" w:hAnsi="宋体" w:cs="宋体"/>
                <w:color w:val="auto"/>
                <w:spacing w:val="-6"/>
                <w:sz w:val="24"/>
                <w:highlight w:val="none"/>
              </w:rPr>
            </w:pPr>
          </w:p>
        </w:tc>
        <w:tc>
          <w:tcPr>
            <w:tcW w:w="1262" w:type="dxa"/>
          </w:tcPr>
          <w:p w14:paraId="2496462D">
            <w:pPr>
              <w:keepNext w:val="0"/>
              <w:keepLines w:val="0"/>
              <w:suppressLineNumbers w:val="0"/>
              <w:spacing w:before="0" w:beforeAutospacing="0" w:after="0" w:afterAutospacing="0" w:line="211" w:lineRule="exact"/>
              <w:ind w:left="0" w:right="0"/>
              <w:jc w:val="center"/>
              <w:rPr>
                <w:rFonts w:hint="default" w:ascii="宋体" w:hAnsi="宋体" w:cs="宋体"/>
                <w:color w:val="auto"/>
                <w:spacing w:val="-6"/>
                <w:sz w:val="24"/>
                <w:highlight w:val="none"/>
              </w:rPr>
            </w:pPr>
          </w:p>
        </w:tc>
        <w:tc>
          <w:tcPr>
            <w:tcW w:w="1263" w:type="dxa"/>
          </w:tcPr>
          <w:p w14:paraId="02F570B3">
            <w:pPr>
              <w:keepNext w:val="0"/>
              <w:keepLines w:val="0"/>
              <w:suppressLineNumbers w:val="0"/>
              <w:spacing w:before="0" w:beforeAutospacing="0" w:after="0" w:afterAutospacing="0" w:line="211" w:lineRule="exact"/>
              <w:ind w:left="0" w:right="0"/>
              <w:jc w:val="center"/>
              <w:rPr>
                <w:rFonts w:hint="default" w:ascii="宋体" w:hAnsi="宋体" w:cs="宋体"/>
                <w:color w:val="auto"/>
                <w:spacing w:val="-6"/>
                <w:sz w:val="24"/>
                <w:highlight w:val="none"/>
              </w:rPr>
            </w:pPr>
          </w:p>
        </w:tc>
        <w:tc>
          <w:tcPr>
            <w:tcW w:w="3262" w:type="dxa"/>
          </w:tcPr>
          <w:p w14:paraId="253047F9">
            <w:pPr>
              <w:keepNext w:val="0"/>
              <w:keepLines w:val="0"/>
              <w:suppressLineNumbers w:val="0"/>
              <w:spacing w:before="0" w:beforeAutospacing="0" w:after="0" w:afterAutospacing="0" w:line="211" w:lineRule="exact"/>
              <w:ind w:left="0" w:right="0"/>
              <w:jc w:val="center"/>
              <w:rPr>
                <w:rFonts w:hint="default" w:ascii="宋体" w:hAnsi="宋体" w:cs="宋体"/>
                <w:color w:val="auto"/>
                <w:spacing w:val="-6"/>
                <w:sz w:val="24"/>
                <w:highlight w:val="none"/>
              </w:rPr>
            </w:pPr>
          </w:p>
        </w:tc>
      </w:tr>
      <w:tr w14:paraId="3D3B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9" w:type="dxa"/>
          </w:tcPr>
          <w:p w14:paraId="4432CE6F">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263" w:type="dxa"/>
          </w:tcPr>
          <w:p w14:paraId="20471658">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404" w:type="dxa"/>
          </w:tcPr>
          <w:p w14:paraId="3E4B46EB">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262" w:type="dxa"/>
          </w:tcPr>
          <w:p w14:paraId="2B2EB443">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263" w:type="dxa"/>
          </w:tcPr>
          <w:p w14:paraId="048A4945">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3262" w:type="dxa"/>
          </w:tcPr>
          <w:p w14:paraId="6E87C280">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r>
      <w:tr w14:paraId="5E0F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3B54106E">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263" w:type="dxa"/>
          </w:tcPr>
          <w:p w14:paraId="36AC76AD">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404" w:type="dxa"/>
          </w:tcPr>
          <w:p w14:paraId="16E53788">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262" w:type="dxa"/>
          </w:tcPr>
          <w:p w14:paraId="5EF9C498">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1263" w:type="dxa"/>
          </w:tcPr>
          <w:p w14:paraId="45C75B7A">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c>
          <w:tcPr>
            <w:tcW w:w="3262" w:type="dxa"/>
          </w:tcPr>
          <w:p w14:paraId="0D1F48B6">
            <w:pPr>
              <w:keepNext w:val="0"/>
              <w:keepLines w:val="0"/>
              <w:suppressLineNumbers w:val="0"/>
              <w:spacing w:before="0" w:beforeAutospacing="0" w:after="0" w:afterAutospacing="0" w:line="211" w:lineRule="exact"/>
              <w:ind w:left="0" w:right="0"/>
              <w:rPr>
                <w:rFonts w:hint="default" w:ascii="宋体" w:hAnsi="宋体" w:cs="宋体"/>
                <w:color w:val="auto"/>
                <w:spacing w:val="-6"/>
                <w:sz w:val="24"/>
                <w:highlight w:val="none"/>
              </w:rPr>
            </w:pPr>
          </w:p>
        </w:tc>
      </w:tr>
    </w:tbl>
    <w:p w14:paraId="70639DE4">
      <w:pPr>
        <w:spacing w:line="211" w:lineRule="exact"/>
        <w:ind w:left="566"/>
        <w:rPr>
          <w:rFonts w:ascii="宋体" w:hAnsi="宋体" w:cs="宋体"/>
          <w:color w:val="auto"/>
          <w:spacing w:val="-6"/>
          <w:sz w:val="24"/>
          <w:highlight w:val="none"/>
        </w:rPr>
      </w:pPr>
    </w:p>
    <w:p w14:paraId="7DA5358D">
      <w:pPr>
        <w:spacing w:line="314" w:lineRule="exact"/>
        <w:ind w:left="566" w:firstLine="425"/>
        <w:rPr>
          <w:rFonts w:hint="eastAsia" w:eastAsia="宋体"/>
          <w:color w:val="auto"/>
          <w:sz w:val="24"/>
          <w:highlight w:val="none"/>
          <w:lang w:eastAsia="zh-CN"/>
        </w:rPr>
      </w:pPr>
      <w:r>
        <w:rPr>
          <w:rFonts w:ascii="宋体" w:hAnsi="宋体" w:cs="宋体"/>
          <w:color w:val="auto"/>
          <w:spacing w:val="-3"/>
          <w:sz w:val="24"/>
          <w:highlight w:val="none"/>
        </w:rPr>
        <w:t>1.</w:t>
      </w:r>
      <w:r>
        <w:rPr>
          <w:rFonts w:hint="eastAsia" w:ascii="宋体" w:hAnsi="宋体" w:cs="宋体"/>
          <w:color w:val="auto"/>
          <w:spacing w:val="-9"/>
          <w:sz w:val="24"/>
          <w:highlight w:val="none"/>
        </w:rPr>
        <w:t>根据评标办法提供业绩证明材料</w:t>
      </w:r>
      <w:r>
        <w:rPr>
          <w:rFonts w:hint="eastAsia" w:ascii="宋体" w:hAnsi="宋体" w:cs="宋体"/>
          <w:color w:val="auto"/>
          <w:spacing w:val="-9"/>
          <w:sz w:val="24"/>
          <w:highlight w:val="none"/>
          <w:lang w:eastAsia="zh-CN"/>
        </w:rPr>
        <w:t>。</w:t>
      </w:r>
    </w:p>
    <w:p w14:paraId="67E49A3E">
      <w:pPr>
        <w:pStyle w:val="15"/>
        <w:ind w:left="-5" w:firstLine="480"/>
        <w:rPr>
          <w:rFonts w:ascii="宋体" w:hAnsi="宋体"/>
          <w:b/>
          <w:color w:val="auto"/>
          <w:szCs w:val="21"/>
          <w:highlight w:val="none"/>
        </w:rPr>
      </w:pPr>
      <w:r>
        <w:rPr>
          <w:rFonts w:hint="eastAsia" w:ascii="仿宋" w:hAnsi="仿宋" w:eastAsia="仿宋"/>
          <w:color w:val="auto"/>
          <w:sz w:val="24"/>
          <w:highlight w:val="none"/>
        </w:rPr>
        <w:t xml:space="preserve"> </w:t>
      </w:r>
    </w:p>
    <w:p w14:paraId="469D17EE">
      <w:pPr>
        <w:pStyle w:val="46"/>
        <w:jc w:val="both"/>
        <w:rPr>
          <w:rFonts w:ascii="宋体" w:hAnsi="宋体"/>
          <w:b w:val="0"/>
          <w:color w:val="auto"/>
          <w:sz w:val="21"/>
          <w:szCs w:val="21"/>
          <w:highlight w:val="none"/>
        </w:rPr>
      </w:pPr>
    </w:p>
    <w:p w14:paraId="72801C02">
      <w:pPr>
        <w:adjustRightInd w:val="0"/>
        <w:snapToGrid w:val="0"/>
        <w:spacing w:line="586" w:lineRule="exact"/>
        <w:ind w:firstLine="3360" w:firstLineChars="1400"/>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投  标  人（盖章）：</w:t>
      </w:r>
    </w:p>
    <w:p w14:paraId="7002DEB6">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7212D4DF">
      <w:pPr>
        <w:pStyle w:val="42"/>
        <w:ind w:left="560"/>
        <w:jc w:val="right"/>
        <w:rPr>
          <w:rFonts w:ascii="宋体" w:hAnsi="宋体"/>
          <w:color w:val="auto"/>
          <w:sz w:val="24"/>
          <w:szCs w:val="24"/>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color w:val="auto"/>
          <w:sz w:val="24"/>
          <w:szCs w:val="24"/>
          <w:highlight w:val="none"/>
        </w:rPr>
        <w:t>年    月    日</w:t>
      </w:r>
    </w:p>
    <w:p w14:paraId="66FF849F">
      <w:pPr>
        <w:tabs>
          <w:tab w:val="left" w:pos="739"/>
        </w:tabs>
        <w:spacing w:line="32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t>：</w:t>
      </w:r>
    </w:p>
    <w:p w14:paraId="525EB167">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2384D767">
      <w:pPr>
        <w:spacing w:line="360" w:lineRule="auto"/>
        <w:ind w:left="641" w:leftChars="229" w:firstLine="813" w:firstLineChars="450"/>
        <w:rPr>
          <w:rFonts w:ascii="宋体" w:hAnsi="宋体"/>
          <w:b/>
          <w:color w:val="auto"/>
          <w:sz w:val="18"/>
          <w:szCs w:val="18"/>
          <w:highlight w:val="none"/>
        </w:rPr>
      </w:pPr>
    </w:p>
    <w:tbl>
      <w:tblPr>
        <w:tblStyle w:val="49"/>
        <w:tblW w:w="8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6"/>
        <w:gridCol w:w="1786"/>
        <w:gridCol w:w="1365"/>
        <w:gridCol w:w="2626"/>
      </w:tblGrid>
      <w:tr w14:paraId="787E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trPr>
        <w:tc>
          <w:tcPr>
            <w:tcW w:w="735" w:type="dxa"/>
            <w:vAlign w:val="center"/>
          </w:tcPr>
          <w:p w14:paraId="709C0C11">
            <w:pPr>
              <w:keepNext w:val="0"/>
              <w:keepLines w:val="0"/>
              <w:suppressLineNumbers w:val="0"/>
              <w:spacing w:before="0" w:beforeAutospacing="0" w:after="0" w:afterAutospacing="0"/>
              <w:ind w:left="0" w:right="0"/>
              <w:jc w:val="center"/>
              <w:rPr>
                <w:rFonts w:hint="default" w:ascii="宋体" w:hAnsi="宋体"/>
                <w:b/>
                <w:color w:val="auto"/>
                <w:sz w:val="24"/>
                <w:highlight w:val="none"/>
              </w:rPr>
            </w:pPr>
            <w:r>
              <w:rPr>
                <w:rFonts w:hint="eastAsia" w:ascii="宋体" w:hAnsi="宋体"/>
                <w:b/>
                <w:color w:val="auto"/>
                <w:sz w:val="24"/>
                <w:highlight w:val="none"/>
              </w:rPr>
              <w:t>序号</w:t>
            </w:r>
          </w:p>
        </w:tc>
        <w:tc>
          <w:tcPr>
            <w:tcW w:w="1786" w:type="dxa"/>
            <w:vAlign w:val="center"/>
          </w:tcPr>
          <w:p w14:paraId="029A36D4">
            <w:pPr>
              <w:keepNext w:val="0"/>
              <w:keepLines w:val="0"/>
              <w:suppressLineNumbers w:val="0"/>
              <w:spacing w:before="0" w:beforeAutospacing="0" w:after="0" w:afterAutospacing="0"/>
              <w:ind w:left="0" w:right="0"/>
              <w:jc w:val="center"/>
              <w:rPr>
                <w:rFonts w:hint="default" w:ascii="宋体" w:hAnsi="宋体"/>
                <w:b/>
                <w:color w:val="auto"/>
                <w:sz w:val="24"/>
                <w:highlight w:val="none"/>
              </w:rPr>
            </w:pPr>
            <w:r>
              <w:rPr>
                <w:rFonts w:hint="eastAsia" w:ascii="宋体" w:hAnsi="宋体"/>
                <w:b/>
                <w:color w:val="auto"/>
                <w:sz w:val="24"/>
                <w:highlight w:val="none"/>
              </w:rPr>
              <w:t>内容</w:t>
            </w:r>
          </w:p>
        </w:tc>
        <w:tc>
          <w:tcPr>
            <w:tcW w:w="1786" w:type="dxa"/>
            <w:vAlign w:val="center"/>
          </w:tcPr>
          <w:p w14:paraId="01A0F85E">
            <w:pPr>
              <w:keepNext w:val="0"/>
              <w:keepLines w:val="0"/>
              <w:suppressLineNumbers w:val="0"/>
              <w:spacing w:before="0" w:beforeAutospacing="0" w:after="0" w:afterAutospacing="0"/>
              <w:ind w:left="70" w:leftChars="25" w:right="0" w:firstLine="241" w:firstLineChars="100"/>
              <w:jc w:val="center"/>
              <w:rPr>
                <w:rFonts w:hint="default"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714278E3">
            <w:pPr>
              <w:keepNext w:val="0"/>
              <w:keepLines w:val="0"/>
              <w:suppressLineNumbers w:val="0"/>
              <w:spacing w:before="0" w:beforeAutospacing="0" w:after="0" w:afterAutospacing="0"/>
              <w:ind w:left="152" w:right="0"/>
              <w:jc w:val="center"/>
              <w:rPr>
                <w:rFonts w:hint="default" w:ascii="宋体" w:hAnsi="宋体"/>
                <w:b/>
                <w:color w:val="auto"/>
                <w:sz w:val="24"/>
                <w:highlight w:val="none"/>
              </w:rPr>
            </w:pPr>
            <w:r>
              <w:rPr>
                <w:rFonts w:hint="eastAsia" w:ascii="宋体" w:hAnsi="宋体"/>
                <w:b/>
                <w:color w:val="auto"/>
                <w:sz w:val="24"/>
                <w:highlight w:val="none"/>
              </w:rPr>
              <w:t>是否响应</w:t>
            </w:r>
          </w:p>
        </w:tc>
        <w:tc>
          <w:tcPr>
            <w:tcW w:w="2626" w:type="dxa"/>
            <w:vAlign w:val="center"/>
          </w:tcPr>
          <w:p w14:paraId="3186BDE7">
            <w:pPr>
              <w:keepNext w:val="0"/>
              <w:keepLines w:val="0"/>
              <w:suppressLineNumbers w:val="0"/>
              <w:spacing w:before="0" w:beforeAutospacing="0" w:after="0" w:afterAutospacing="0"/>
              <w:ind w:left="0" w:right="0"/>
              <w:jc w:val="center"/>
              <w:rPr>
                <w:rFonts w:hint="default" w:ascii="宋体" w:hAnsi="宋体"/>
                <w:b/>
                <w:color w:val="auto"/>
                <w:sz w:val="24"/>
                <w:highlight w:val="none"/>
              </w:rPr>
            </w:pPr>
            <w:r>
              <w:rPr>
                <w:rFonts w:hint="eastAsia" w:ascii="宋体" w:hAnsi="宋体"/>
                <w:b/>
                <w:color w:val="auto"/>
                <w:sz w:val="24"/>
                <w:highlight w:val="none"/>
              </w:rPr>
              <w:t>投标人的承诺或说明</w:t>
            </w:r>
          </w:p>
        </w:tc>
      </w:tr>
      <w:tr w14:paraId="5DF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35" w:type="dxa"/>
            <w:vAlign w:val="center"/>
          </w:tcPr>
          <w:p w14:paraId="3AFD7ED3">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default" w:ascii="宋体" w:hAnsi="宋体"/>
                <w:color w:val="auto"/>
                <w:sz w:val="24"/>
                <w:highlight w:val="none"/>
              </w:rPr>
              <w:t>1</w:t>
            </w:r>
          </w:p>
        </w:tc>
        <w:tc>
          <w:tcPr>
            <w:tcW w:w="1786" w:type="dxa"/>
            <w:vAlign w:val="center"/>
          </w:tcPr>
          <w:p w14:paraId="2CFB033F">
            <w:pPr>
              <w:keepNext w:val="0"/>
              <w:keepLines w:val="0"/>
              <w:suppressLineNumbers w:val="0"/>
              <w:tabs>
                <w:tab w:val="left" w:pos="525"/>
              </w:tabs>
              <w:adjustRightInd w:val="0"/>
              <w:spacing w:before="0" w:beforeAutospacing="0" w:after="0" w:afterAutospacing="0" w:line="360" w:lineRule="auto"/>
              <w:ind w:right="0"/>
              <w:jc w:val="center"/>
              <w:rPr>
                <w:rFonts w:hint="default" w:ascii="宋体" w:hAnsi="宋体"/>
                <w:color w:val="auto"/>
                <w:sz w:val="24"/>
                <w:highlight w:val="none"/>
              </w:rPr>
            </w:pPr>
            <w:r>
              <w:rPr>
                <w:rFonts w:hint="eastAsia" w:ascii="宋体" w:hAnsi="宋体" w:eastAsia="宋体" w:cs="宋体"/>
                <w:sz w:val="24"/>
                <w:szCs w:val="24"/>
                <w:highlight w:val="none"/>
              </w:rPr>
              <w:t>合同期限</w:t>
            </w:r>
          </w:p>
        </w:tc>
        <w:tc>
          <w:tcPr>
            <w:tcW w:w="1786" w:type="dxa"/>
            <w:vAlign w:val="center"/>
          </w:tcPr>
          <w:p w14:paraId="2987C0F1">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365" w:type="dxa"/>
            <w:vAlign w:val="center"/>
          </w:tcPr>
          <w:p w14:paraId="66E5848B">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2626" w:type="dxa"/>
            <w:vAlign w:val="center"/>
          </w:tcPr>
          <w:p w14:paraId="78ABE8A4">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r w14:paraId="1158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14:paraId="226F990C">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default" w:ascii="宋体" w:hAnsi="宋体"/>
                <w:color w:val="auto"/>
                <w:sz w:val="24"/>
                <w:highlight w:val="none"/>
              </w:rPr>
              <w:t>2</w:t>
            </w:r>
          </w:p>
        </w:tc>
        <w:tc>
          <w:tcPr>
            <w:tcW w:w="1786" w:type="dxa"/>
            <w:vAlign w:val="center"/>
          </w:tcPr>
          <w:p w14:paraId="708A20F3">
            <w:pPr>
              <w:keepNext w:val="0"/>
              <w:keepLines w:val="0"/>
              <w:suppressLineNumbers w:val="0"/>
              <w:adjustRightInd w:val="0"/>
              <w:snapToGrid w:val="0"/>
              <w:spacing w:before="0" w:beforeAutospacing="0" w:after="0" w:afterAutospacing="0" w:line="360" w:lineRule="auto"/>
              <w:ind w:right="0"/>
              <w:jc w:val="center"/>
              <w:rPr>
                <w:rFonts w:hint="default" w:ascii="宋体" w:hAnsi="宋体"/>
                <w:color w:val="auto"/>
                <w:sz w:val="24"/>
                <w:highlight w:val="none"/>
              </w:rPr>
            </w:pPr>
            <w:r>
              <w:rPr>
                <w:rFonts w:hint="eastAsia" w:ascii="宋体" w:hAnsi="宋体" w:eastAsia="宋体" w:cs="宋体"/>
                <w:sz w:val="24"/>
                <w:szCs w:val="24"/>
                <w:highlight w:val="none"/>
              </w:rPr>
              <w:t>具体项目服务期限</w:t>
            </w:r>
          </w:p>
        </w:tc>
        <w:tc>
          <w:tcPr>
            <w:tcW w:w="1786" w:type="dxa"/>
            <w:vAlign w:val="center"/>
          </w:tcPr>
          <w:p w14:paraId="3A0C0838">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365" w:type="dxa"/>
            <w:vAlign w:val="center"/>
          </w:tcPr>
          <w:p w14:paraId="7CC477B9">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2626" w:type="dxa"/>
            <w:vAlign w:val="center"/>
          </w:tcPr>
          <w:p w14:paraId="4CF1B9C0">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r w14:paraId="046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14:paraId="6377C4BB">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default" w:ascii="宋体" w:hAnsi="宋体"/>
                <w:color w:val="auto"/>
                <w:sz w:val="24"/>
                <w:highlight w:val="none"/>
              </w:rPr>
              <w:t>3</w:t>
            </w:r>
          </w:p>
        </w:tc>
        <w:tc>
          <w:tcPr>
            <w:tcW w:w="1786" w:type="dxa"/>
            <w:vAlign w:val="center"/>
          </w:tcPr>
          <w:p w14:paraId="1E06F9A7">
            <w:pPr>
              <w:keepNext w:val="0"/>
              <w:keepLines w:val="0"/>
              <w:suppressLineNumbers w:val="0"/>
              <w:adjustRightInd w:val="0"/>
              <w:snapToGrid w:val="0"/>
              <w:spacing w:before="0" w:beforeAutospacing="0" w:after="0" w:afterAutospacing="0" w:line="360" w:lineRule="auto"/>
              <w:ind w:right="0"/>
              <w:jc w:val="center"/>
              <w:rPr>
                <w:rFonts w:hint="default" w:ascii="宋体" w:hAnsi="宋体"/>
                <w:color w:val="auto"/>
                <w:sz w:val="24"/>
                <w:highlight w:val="none"/>
              </w:rPr>
            </w:pPr>
            <w:r>
              <w:rPr>
                <w:rFonts w:hint="eastAsia" w:ascii="宋体" w:hAnsi="宋体" w:eastAsia="宋体" w:cs="宋体"/>
                <w:sz w:val="24"/>
                <w:szCs w:val="24"/>
                <w:highlight w:val="none"/>
              </w:rPr>
              <w:t>具体项目服务地址</w:t>
            </w:r>
          </w:p>
        </w:tc>
        <w:tc>
          <w:tcPr>
            <w:tcW w:w="1786" w:type="dxa"/>
            <w:vAlign w:val="center"/>
          </w:tcPr>
          <w:p w14:paraId="6FE66BAF">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365" w:type="dxa"/>
            <w:vAlign w:val="center"/>
          </w:tcPr>
          <w:p w14:paraId="1EAAF12E">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2626" w:type="dxa"/>
            <w:vAlign w:val="center"/>
          </w:tcPr>
          <w:p w14:paraId="38668AF3">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r w14:paraId="32B9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21DCF550">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4</w:t>
            </w:r>
          </w:p>
        </w:tc>
        <w:tc>
          <w:tcPr>
            <w:tcW w:w="1786" w:type="dxa"/>
            <w:vAlign w:val="center"/>
          </w:tcPr>
          <w:p w14:paraId="6D7B8275">
            <w:pPr>
              <w:keepNext w:val="0"/>
              <w:keepLines w:val="0"/>
              <w:suppressLineNumbers w:val="0"/>
              <w:adjustRightInd w:val="0"/>
              <w:snapToGrid w:val="0"/>
              <w:spacing w:before="0" w:beforeAutospacing="0" w:after="0" w:afterAutospacing="0" w:line="360" w:lineRule="auto"/>
              <w:ind w:right="0"/>
              <w:jc w:val="center"/>
              <w:rPr>
                <w:rFonts w:hint="default" w:ascii="宋体" w:hAnsi="宋体"/>
                <w:color w:val="auto"/>
                <w:sz w:val="24"/>
                <w:highlight w:val="none"/>
              </w:rPr>
            </w:pPr>
            <w:r>
              <w:rPr>
                <w:rFonts w:hint="eastAsia" w:ascii="宋体" w:hAnsi="宋体" w:eastAsia="宋体" w:cs="宋体"/>
                <w:sz w:val="24"/>
                <w:szCs w:val="24"/>
                <w:highlight w:val="none"/>
              </w:rPr>
              <w:t>具体服务项目分配</w:t>
            </w:r>
          </w:p>
        </w:tc>
        <w:tc>
          <w:tcPr>
            <w:tcW w:w="1786" w:type="dxa"/>
            <w:vAlign w:val="center"/>
          </w:tcPr>
          <w:p w14:paraId="6A7AA4E1">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365" w:type="dxa"/>
            <w:vAlign w:val="center"/>
          </w:tcPr>
          <w:p w14:paraId="773918A4">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2626" w:type="dxa"/>
            <w:vAlign w:val="center"/>
          </w:tcPr>
          <w:p w14:paraId="65C1A474">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r w14:paraId="03D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35049E59">
            <w:pPr>
              <w:keepNext w:val="0"/>
              <w:keepLines w:val="0"/>
              <w:suppressLineNumbers w:val="0"/>
              <w:spacing w:before="0" w:beforeAutospacing="0" w:after="0" w:afterAutospacing="0"/>
              <w:ind w:left="0" w:right="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786" w:type="dxa"/>
            <w:vAlign w:val="center"/>
          </w:tcPr>
          <w:p w14:paraId="02C80262">
            <w:pPr>
              <w:keepNext w:val="0"/>
              <w:keepLines w:val="0"/>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eastAsia="宋体" w:cs="宋体"/>
                <w:sz w:val="24"/>
                <w:szCs w:val="24"/>
                <w:highlight w:val="none"/>
                <w:lang w:val="en-US" w:eastAsia="zh-CN"/>
              </w:rPr>
              <w:t>结算及付款方式</w:t>
            </w:r>
          </w:p>
        </w:tc>
        <w:tc>
          <w:tcPr>
            <w:tcW w:w="1786" w:type="dxa"/>
            <w:vAlign w:val="center"/>
          </w:tcPr>
          <w:p w14:paraId="021BE598">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365" w:type="dxa"/>
            <w:vAlign w:val="center"/>
          </w:tcPr>
          <w:p w14:paraId="23BF636F">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2626" w:type="dxa"/>
            <w:vAlign w:val="center"/>
          </w:tcPr>
          <w:p w14:paraId="2FB233EC">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bl>
    <w:p w14:paraId="1572FCF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w:t>
      </w:r>
      <w:r>
        <w:rPr>
          <w:rFonts w:hint="eastAsia" w:ascii="宋体" w:hAnsi="宋体"/>
          <w:color w:val="auto"/>
          <w:sz w:val="24"/>
          <w:highlight w:val="none"/>
        </w:rPr>
        <w:t>投标人若不填写或</w:t>
      </w:r>
      <w:r>
        <w:rPr>
          <w:rFonts w:hint="eastAsia" w:ascii="宋体" w:hAnsi="宋体"/>
          <w:color w:val="auto"/>
          <w:sz w:val="24"/>
          <w:highlight w:val="none"/>
          <w:lang w:val="en-US" w:eastAsia="zh-CN"/>
        </w:rPr>
        <w:t>内容</w:t>
      </w:r>
      <w:r>
        <w:rPr>
          <w:rFonts w:hint="eastAsia" w:ascii="宋体" w:hAnsi="宋体"/>
          <w:color w:val="auto"/>
          <w:sz w:val="24"/>
          <w:highlight w:val="none"/>
        </w:rPr>
        <w:t>漏填此表，则视为完全响应招标文件要求。</w:t>
      </w:r>
    </w:p>
    <w:p w14:paraId="4FBB60E5">
      <w:pPr>
        <w:spacing w:line="360" w:lineRule="auto"/>
        <w:ind w:left="420"/>
        <w:rPr>
          <w:rFonts w:ascii="宋体" w:hAnsi="宋体"/>
          <w:color w:val="auto"/>
          <w:sz w:val="24"/>
          <w:highlight w:val="none"/>
        </w:rPr>
      </w:pPr>
    </w:p>
    <w:p w14:paraId="2CE21704">
      <w:pPr>
        <w:spacing w:line="360" w:lineRule="auto"/>
        <w:ind w:left="420"/>
        <w:rPr>
          <w:rFonts w:ascii="宋体" w:hAnsi="宋体"/>
          <w:color w:val="auto"/>
          <w:sz w:val="24"/>
          <w:highlight w:val="none"/>
        </w:rPr>
      </w:pPr>
    </w:p>
    <w:p w14:paraId="4A3ABE1E">
      <w:pPr>
        <w:adjustRightInd w:val="0"/>
        <w:snapToGrid w:val="0"/>
        <w:spacing w:line="586" w:lineRule="exact"/>
        <w:ind w:firstLine="3360" w:firstLineChars="1400"/>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投  标  人（盖章）：</w:t>
      </w:r>
    </w:p>
    <w:p w14:paraId="0D8793E4">
      <w:pPr>
        <w:spacing w:line="360" w:lineRule="auto"/>
        <w:ind w:firstLine="435"/>
        <w:jc w:val="right"/>
        <w:rPr>
          <w:rFonts w:ascii="宋体" w:hAnsi="宋体"/>
          <w:color w:val="auto"/>
          <w:sz w:val="24"/>
          <w:highlight w:val="none"/>
        </w:rPr>
      </w:pPr>
      <w:r>
        <w:rPr>
          <w:rFonts w:hint="eastAsia" w:ascii="宋体" w:hAnsi="宋体"/>
          <w:color w:val="auto"/>
          <w:sz w:val="24"/>
          <w:highlight w:val="none"/>
        </w:rPr>
        <w:t xml:space="preserve">  </w:t>
      </w:r>
    </w:p>
    <w:p w14:paraId="4DDCA6E3">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27C879D0">
      <w:pPr>
        <w:adjustRightInd w:val="0"/>
        <w:snapToGrid w:val="0"/>
        <w:spacing w:line="586" w:lineRule="exact"/>
        <w:ind w:firstLine="3360" w:firstLineChars="1400"/>
        <w:jc w:val="right"/>
        <w:rPr>
          <w:rFonts w:ascii="宋体" w:hAnsi="宋体"/>
          <w:color w:val="auto"/>
          <w:sz w:val="24"/>
          <w:highlight w:val="none"/>
        </w:rPr>
      </w:pPr>
    </w:p>
    <w:p w14:paraId="31C7F06A">
      <w:pPr>
        <w:spacing w:line="360" w:lineRule="auto"/>
        <w:ind w:firstLine="435"/>
        <w:jc w:val="right"/>
        <w:rPr>
          <w:rFonts w:hint="eastAsia" w:ascii="宋体" w:hAnsi="宋体"/>
          <w:color w:val="auto"/>
          <w:sz w:val="24"/>
          <w:highlight w:val="none"/>
        </w:rPr>
      </w:pPr>
      <w:r>
        <w:rPr>
          <w:rFonts w:hint="eastAsia" w:ascii="宋体" w:hAnsi="宋体"/>
          <w:color w:val="auto"/>
          <w:sz w:val="24"/>
          <w:highlight w:val="none"/>
        </w:rPr>
        <w:t>年    月    日</w:t>
      </w:r>
    </w:p>
    <w:p w14:paraId="316D2D96">
      <w:pPr>
        <w:rPr>
          <w:rFonts w:hint="eastAsia" w:ascii="宋体" w:hAnsi="宋体"/>
          <w:color w:val="auto"/>
          <w:sz w:val="24"/>
          <w:highlight w:val="none"/>
        </w:rPr>
      </w:pPr>
      <w:r>
        <w:rPr>
          <w:rFonts w:hint="eastAsia" w:ascii="宋体" w:hAnsi="宋体"/>
          <w:color w:val="auto"/>
          <w:sz w:val="24"/>
          <w:highlight w:val="none"/>
        </w:rPr>
        <w:br w:type="page"/>
      </w:r>
    </w:p>
    <w:p w14:paraId="523469DD">
      <w:pPr>
        <w:tabs>
          <w:tab w:val="left" w:pos="739"/>
        </w:tabs>
        <w:spacing w:line="32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w:t>
      </w:r>
    </w:p>
    <w:p w14:paraId="00715D78">
      <w:pPr>
        <w:spacing w:line="360" w:lineRule="auto"/>
        <w:jc w:val="center"/>
        <w:rPr>
          <w:rFonts w:ascii="宋体" w:hAnsi="宋体" w:cs="宋体"/>
          <w:b/>
          <w:bCs/>
          <w:color w:val="auto"/>
          <w:sz w:val="36"/>
          <w:highlight w:val="none"/>
        </w:rPr>
      </w:pPr>
      <w:r>
        <w:rPr>
          <w:rFonts w:hint="eastAsia" w:ascii="宋体" w:hAnsi="宋体" w:cs="宋体"/>
          <w:b/>
          <w:bCs/>
          <w:color w:val="auto"/>
          <w:sz w:val="36"/>
          <w:highlight w:val="none"/>
        </w:rPr>
        <w:t>投标人诚信投标承诺书</w:t>
      </w:r>
    </w:p>
    <w:p w14:paraId="3354C07C">
      <w:pPr>
        <w:spacing w:line="360" w:lineRule="auto"/>
        <w:rPr>
          <w:rFonts w:ascii="宋体" w:hAnsi="宋体" w:cs="宋体"/>
          <w:color w:val="auto"/>
          <w:sz w:val="24"/>
          <w:highlight w:val="none"/>
        </w:rPr>
      </w:pPr>
      <w:r>
        <w:rPr>
          <w:rFonts w:hint="eastAsia" w:ascii="宋体" w:hAnsi="宋体" w:cs="宋体"/>
          <w:color w:val="auto"/>
          <w:sz w:val="24"/>
          <w:highlight w:val="none"/>
        </w:rPr>
        <w:t>本人以企业法定代表人的身份郑重承诺：</w:t>
      </w:r>
    </w:p>
    <w:p w14:paraId="603EDE93">
      <w:pPr>
        <w:spacing w:line="360" w:lineRule="auto"/>
        <w:rPr>
          <w:rFonts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将遵循公开、公正和诚实信用的原则自愿参加</w:t>
      </w:r>
      <w:r>
        <w:rPr>
          <w:rFonts w:hint="eastAsia" w:ascii="宋体" w:hAnsi="宋体" w:cs="宋体"/>
          <w:color w:val="auto"/>
          <w:sz w:val="24"/>
          <w:highlight w:val="none"/>
          <w:u w:val="single"/>
          <w:lang w:eastAsia="zh-CN"/>
        </w:rPr>
        <w:t>台州国际博览中心水电气接驳（含维保）服务商采购项目</w:t>
      </w:r>
      <w:r>
        <w:rPr>
          <w:rFonts w:hint="eastAsia" w:ascii="宋体" w:hAnsi="宋体" w:cs="宋体"/>
          <w:color w:val="auto"/>
          <w:sz w:val="24"/>
          <w:highlight w:val="none"/>
        </w:rPr>
        <w:t>的投标；</w:t>
      </w:r>
    </w:p>
    <w:p w14:paraId="209D5084">
      <w:pPr>
        <w:spacing w:line="360" w:lineRule="auto"/>
        <w:rPr>
          <w:rFonts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所提供的一切材料都是真实、有效、合法的；</w:t>
      </w:r>
    </w:p>
    <w:p w14:paraId="2FD87792">
      <w:pPr>
        <w:spacing w:line="360" w:lineRule="auto"/>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color w:val="auto"/>
          <w:sz w:val="24"/>
          <w:highlight w:val="none"/>
        </w:rPr>
        <w:t>不出借、转让资质证书，让他人挂靠投标，不以他人名义投标或者以其他方式弄虚作假骗取中标；</w:t>
      </w:r>
    </w:p>
    <w:p w14:paraId="4CA200BA">
      <w:pPr>
        <w:spacing w:line="360" w:lineRule="auto"/>
        <w:rPr>
          <w:rFonts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不与其他投标人相互串通投标报价，不排挤其他投标人的公平竞争、损害</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的合法权益；</w:t>
      </w:r>
    </w:p>
    <w:p w14:paraId="42ADC87D">
      <w:pPr>
        <w:spacing w:line="360" w:lineRule="auto"/>
        <w:rPr>
          <w:rFonts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不向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或者评标委员会成员行贿以谋取中标；</w:t>
      </w:r>
    </w:p>
    <w:p w14:paraId="5D4A6AF5">
      <w:pPr>
        <w:spacing w:line="360" w:lineRule="auto"/>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不虚报资质业绩、不擅自修改招标文件，不虚假响应招标文件技术参数要求以牟取中标；</w:t>
      </w:r>
    </w:p>
    <w:p w14:paraId="09724E13">
      <w:pPr>
        <w:spacing w:line="360" w:lineRule="auto"/>
        <w:rPr>
          <w:rFonts w:ascii="宋体" w:hAnsi="宋体" w:cs="宋体"/>
          <w:color w:val="auto"/>
          <w:sz w:val="24"/>
          <w:highlight w:val="none"/>
        </w:rPr>
      </w:pPr>
      <w:r>
        <w:rPr>
          <w:rFonts w:hint="eastAsia" w:ascii="宋体" w:hAnsi="宋体" w:cs="宋体"/>
          <w:b/>
          <w:color w:val="auto"/>
          <w:sz w:val="24"/>
          <w:highlight w:val="none"/>
        </w:rPr>
        <w:t>七、</w:t>
      </w:r>
      <w:r>
        <w:rPr>
          <w:rFonts w:hint="eastAsia" w:ascii="宋体" w:hAnsi="宋体" w:cs="宋体"/>
          <w:color w:val="auto"/>
          <w:sz w:val="24"/>
          <w:highlight w:val="none"/>
        </w:rPr>
        <w:t>严格按照招标、投标文件要求签订合同，不违反法律无故拒签合同，不背离合同（或技术规格书）实质性内容的协议；</w:t>
      </w:r>
    </w:p>
    <w:p w14:paraId="257BBED6">
      <w:pPr>
        <w:spacing w:line="360" w:lineRule="auto"/>
        <w:rPr>
          <w:rFonts w:ascii="宋体" w:hAnsi="宋体" w:cs="宋体"/>
          <w:color w:val="auto"/>
          <w:sz w:val="24"/>
          <w:highlight w:val="none"/>
        </w:rPr>
      </w:pPr>
      <w:r>
        <w:rPr>
          <w:rFonts w:hint="eastAsia" w:ascii="宋体" w:hAnsi="宋体" w:cs="宋体"/>
          <w:b/>
          <w:color w:val="auto"/>
          <w:sz w:val="24"/>
          <w:highlight w:val="none"/>
        </w:rPr>
        <w:t>八、</w:t>
      </w:r>
      <w:r>
        <w:rPr>
          <w:rFonts w:hint="eastAsia" w:ascii="宋体" w:hAnsi="宋体" w:cs="宋体"/>
          <w:color w:val="auto"/>
          <w:sz w:val="24"/>
          <w:highlight w:val="none"/>
        </w:rPr>
        <w:t>保证中标后不得转包及分包；</w:t>
      </w:r>
    </w:p>
    <w:p w14:paraId="10D314DA">
      <w:pPr>
        <w:spacing w:line="360" w:lineRule="auto"/>
        <w:rPr>
          <w:rFonts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保证中标之后，按照投标文件承诺执行，如有违反，同意接受建设单位违约处罚并没收其履约保证金；</w:t>
      </w:r>
    </w:p>
    <w:p w14:paraId="2B3B3630">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十、</w:t>
      </w:r>
      <w:r>
        <w:rPr>
          <w:rFonts w:hint="eastAsia" w:ascii="宋体" w:hAnsi="宋体" w:cs="宋体"/>
          <w:color w:val="auto"/>
          <w:sz w:val="24"/>
          <w:highlight w:val="none"/>
        </w:rPr>
        <w:t>保证企业及所属人员无行贿犯罪记录</w:t>
      </w:r>
      <w:r>
        <w:rPr>
          <w:rFonts w:hint="eastAsia" w:ascii="宋体" w:hAnsi="宋体" w:cs="宋体"/>
          <w:color w:val="auto"/>
          <w:sz w:val="24"/>
          <w:highlight w:val="none"/>
          <w:lang w:eastAsia="zh-CN"/>
        </w:rPr>
        <w:t>。</w:t>
      </w:r>
    </w:p>
    <w:p w14:paraId="442E2D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本公司若有违反承诺内容的行为，自愿接受取消投标资格、记入信用档案等有关处理，愿意承担法律责任。如已中标的，自动放弃中标资格；给</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造成损失的，依法承担赔偿责任。</w:t>
      </w:r>
    </w:p>
    <w:p w14:paraId="476A5A2B">
      <w:pPr>
        <w:spacing w:line="360"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olor w:val="auto"/>
          <w:sz w:val="24"/>
          <w:highlight w:val="none"/>
        </w:rPr>
        <w:t>盖章</w:t>
      </w:r>
      <w:r>
        <w:rPr>
          <w:rFonts w:hint="eastAsia" w:ascii="宋体" w:hAnsi="宋体" w:cs="宋体"/>
          <w:color w:val="auto"/>
          <w:sz w:val="24"/>
          <w:highlight w:val="none"/>
        </w:rPr>
        <w:t xml:space="preserve">）：                </w:t>
      </w:r>
    </w:p>
    <w:p w14:paraId="765EA64C">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                             年  月  日</w:t>
      </w:r>
    </w:p>
    <w:p w14:paraId="2C3902A5">
      <w:pPr>
        <w:spacing w:line="360" w:lineRule="auto"/>
        <w:rPr>
          <w:rFonts w:hint="eastAsia"/>
          <w:color w:val="auto"/>
          <w:highlight w:val="none"/>
          <w:lang w:val="en-US" w:eastAsia="zh-CN"/>
        </w:rPr>
      </w:pPr>
    </w:p>
    <w:sectPr>
      <w:pgSz w:w="11905" w:h="16838"/>
      <w:pgMar w:top="1247" w:right="1361" w:bottom="1247" w:left="1361" w:header="851" w:footer="850" w:gutter="0"/>
      <w:pgBorders>
        <w:top w:val="none" w:sz="0" w:space="0"/>
        <w:left w:val="none" w:sz="0" w:space="0"/>
        <w:bottom w:val="none" w:sz="0" w:space="0"/>
        <w:right w:val="none" w:sz="0" w:space="0"/>
      </w:pgBorders>
      <w:pgNumType w:fmt="decimal"/>
      <w:cols w:space="0" w:num="1"/>
      <w:rtlGutter w:val="0"/>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16B4C">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4157">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5A8CA">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965A8CA">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CE12">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FDC8A">
                          <w:pPr>
                            <w:pStyle w:val="3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0FDC8A">
                    <w:pPr>
                      <w:pStyle w:val="3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3B143"/>
    <w:multiLevelType w:val="singleLevel"/>
    <w:tmpl w:val="8683B143"/>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1">
    <w:nsid w:val="F702A139"/>
    <w:multiLevelType w:val="singleLevel"/>
    <w:tmpl w:val="F702A139"/>
    <w:lvl w:ilvl="0" w:tentative="0">
      <w:start w:val="1"/>
      <w:numFmt w:val="chineseCounting"/>
      <w:suff w:val="nothing"/>
      <w:lvlText w:val="%1、"/>
      <w:lvlJc w:val="left"/>
      <w:rPr>
        <w:rFonts w:hint="eastAsia"/>
      </w:rPr>
    </w:lvl>
  </w:abstractNum>
  <w:abstractNum w:abstractNumId="2">
    <w:nsid w:val="0000000D"/>
    <w:multiLevelType w:val="singleLevel"/>
    <w:tmpl w:val="0000000D"/>
    <w:lvl w:ilvl="0" w:tentative="0">
      <w:start w:val="1"/>
      <w:numFmt w:val="decimal"/>
      <w:pStyle w:val="25"/>
      <w:lvlText w:val="%1."/>
      <w:lvlJc w:val="left"/>
      <w:pPr>
        <w:tabs>
          <w:tab w:val="left" w:pos="1200"/>
        </w:tabs>
        <w:ind w:left="1200" w:hanging="360"/>
      </w:pPr>
    </w:lvl>
  </w:abstractNum>
  <w:abstractNum w:abstractNumId="3">
    <w:nsid w:val="0000000E"/>
    <w:multiLevelType w:val="multilevel"/>
    <w:tmpl w:val="0000000E"/>
    <w:lvl w:ilvl="0" w:tentative="0">
      <w:start w:val="1"/>
      <w:numFmt w:val="bullet"/>
      <w:pStyle w:val="101"/>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22"/>
      <w:lvlText w:val="o"/>
      <w:lvlJc w:val="left"/>
      <w:pPr>
        <w:tabs>
          <w:tab w:val="left" w:pos="1440"/>
        </w:tabs>
        <w:ind w:left="1800" w:hanging="360"/>
      </w:pPr>
      <w:rPr>
        <w:rFonts w:hint="default" w:ascii="Courier New" w:hAnsi="Courier New" w:cs="Times New Roman"/>
      </w:rPr>
    </w:lvl>
    <w:lvl w:ilvl="3" w:tentative="0">
      <w:start w:val="1"/>
      <w:numFmt w:val="bullet"/>
      <w:pStyle w:val="129"/>
      <w:lvlText w:val=""/>
      <w:lvlJc w:val="left"/>
      <w:pPr>
        <w:tabs>
          <w:tab w:val="left" w:pos="2160"/>
        </w:tabs>
        <w:ind w:left="2520" w:hanging="360"/>
      </w:pPr>
      <w:rPr>
        <w:rFonts w:hint="default" w:ascii="Wingdings" w:hAnsi="Wingdings"/>
      </w:rPr>
    </w:lvl>
    <w:lvl w:ilvl="4" w:tentative="0">
      <w:start w:val="1"/>
      <w:numFmt w:val="bullet"/>
      <w:pStyle w:val="127"/>
      <w:lvlText w:val=""/>
      <w:lvlJc w:val="left"/>
      <w:pPr>
        <w:tabs>
          <w:tab w:val="left" w:pos="2880"/>
        </w:tabs>
        <w:ind w:left="3240" w:hanging="360"/>
      </w:pPr>
      <w:rPr>
        <w:rFonts w:hint="default" w:ascii="Wingdings" w:hAnsi="Wingdings"/>
      </w:rPr>
    </w:lvl>
    <w:lvl w:ilvl="5" w:tentative="0">
      <w:start w:val="1"/>
      <w:numFmt w:val="bullet"/>
      <w:pStyle w:val="107"/>
      <w:lvlText w:val=""/>
      <w:lvlJc w:val="left"/>
      <w:pPr>
        <w:tabs>
          <w:tab w:val="left" w:pos="3600"/>
        </w:tabs>
        <w:ind w:left="3960" w:hanging="360"/>
      </w:pPr>
      <w:rPr>
        <w:rFonts w:hint="default" w:ascii="Symbol" w:hAnsi="Symbol"/>
      </w:rPr>
    </w:lvl>
    <w:lvl w:ilvl="6" w:tentative="0">
      <w:start w:val="1"/>
      <w:numFmt w:val="bullet"/>
      <w:pStyle w:val="123"/>
      <w:lvlText w:val="o"/>
      <w:lvlJc w:val="left"/>
      <w:pPr>
        <w:tabs>
          <w:tab w:val="left" w:pos="4320"/>
        </w:tabs>
        <w:ind w:left="4680" w:hanging="360"/>
      </w:pPr>
      <w:rPr>
        <w:rFonts w:hint="default" w:ascii="Courier New" w:hAnsi="Courier New" w:cs="Times New Roman"/>
      </w:rPr>
    </w:lvl>
    <w:lvl w:ilvl="7" w:tentative="0">
      <w:start w:val="1"/>
      <w:numFmt w:val="bullet"/>
      <w:pStyle w:val="117"/>
      <w:lvlText w:val=""/>
      <w:lvlJc w:val="left"/>
      <w:pPr>
        <w:tabs>
          <w:tab w:val="left" w:pos="5040"/>
        </w:tabs>
        <w:ind w:left="5400" w:hanging="360"/>
      </w:pPr>
      <w:rPr>
        <w:rFonts w:hint="default" w:ascii="Wingdings" w:hAnsi="Wingdings"/>
      </w:rPr>
    </w:lvl>
    <w:lvl w:ilvl="8" w:tentative="0">
      <w:start w:val="1"/>
      <w:numFmt w:val="bullet"/>
      <w:pStyle w:val="130"/>
      <w:lvlText w:val=""/>
      <w:lvlJc w:val="left"/>
      <w:pPr>
        <w:tabs>
          <w:tab w:val="left" w:pos="5760"/>
        </w:tabs>
        <w:ind w:left="6120" w:hanging="360"/>
      </w:pPr>
      <w:rPr>
        <w:rFonts w:hint="default" w:ascii="Wingdings" w:hAnsi="Wingdings"/>
      </w:rPr>
    </w:lvl>
  </w:abstractNum>
  <w:abstractNum w:abstractNumId="4">
    <w:nsid w:val="396DBD05"/>
    <w:multiLevelType w:val="singleLevel"/>
    <w:tmpl w:val="396DBD05"/>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5">
    <w:nsid w:val="763060DB"/>
    <w:multiLevelType w:val="multilevel"/>
    <w:tmpl w:val="763060D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6AB262"/>
    <w:multiLevelType w:val="singleLevel"/>
    <w:tmpl w:val="7A6AB262"/>
    <w:lvl w:ilvl="0" w:tentative="0">
      <w:start w:val="2"/>
      <w:numFmt w:val="chineseCounting"/>
      <w:suff w:val="space"/>
      <w:lvlText w:val="（%1）"/>
      <w:lvlJc w:val="left"/>
      <w:rPr>
        <w:rFonts w:hint="eastAsia"/>
      </w:rPr>
    </w:lvl>
  </w:abstractNum>
  <w:num w:numId="1">
    <w:abstractNumId w:val="0"/>
  </w:num>
  <w:num w:numId="2">
    <w:abstractNumId w:val="2"/>
    <w:lvlOverride w:ilvl="0">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ZTUxYTJhNjFjMjU2ZjM0MjZkMjBlZWZlOGJhZmYifQ=="/>
    <w:docVar w:name="KSO_WPS_MARK_KEY" w:val="e4ca372e-d7fc-45d8-9fc6-9f79a056c71a"/>
  </w:docVars>
  <w:rsids>
    <w:rsidRoot w:val="00FA3630"/>
    <w:rsid w:val="00101071"/>
    <w:rsid w:val="00121324"/>
    <w:rsid w:val="00135B36"/>
    <w:rsid w:val="00151856"/>
    <w:rsid w:val="00183481"/>
    <w:rsid w:val="001E390A"/>
    <w:rsid w:val="00205236"/>
    <w:rsid w:val="00233ABA"/>
    <w:rsid w:val="002E2092"/>
    <w:rsid w:val="002E633C"/>
    <w:rsid w:val="00300E5E"/>
    <w:rsid w:val="00357321"/>
    <w:rsid w:val="003835E8"/>
    <w:rsid w:val="004312EF"/>
    <w:rsid w:val="00445DD2"/>
    <w:rsid w:val="0046409C"/>
    <w:rsid w:val="00510C22"/>
    <w:rsid w:val="005276F7"/>
    <w:rsid w:val="0052785F"/>
    <w:rsid w:val="005B4F13"/>
    <w:rsid w:val="005E1A56"/>
    <w:rsid w:val="005F39FF"/>
    <w:rsid w:val="0062709F"/>
    <w:rsid w:val="006604C8"/>
    <w:rsid w:val="00694937"/>
    <w:rsid w:val="00775DFA"/>
    <w:rsid w:val="007B4C12"/>
    <w:rsid w:val="007D536D"/>
    <w:rsid w:val="00813A51"/>
    <w:rsid w:val="00831AE8"/>
    <w:rsid w:val="00875DBA"/>
    <w:rsid w:val="008B264E"/>
    <w:rsid w:val="008E1236"/>
    <w:rsid w:val="00975232"/>
    <w:rsid w:val="00981C8A"/>
    <w:rsid w:val="00985179"/>
    <w:rsid w:val="009A0936"/>
    <w:rsid w:val="009A7528"/>
    <w:rsid w:val="00A82900"/>
    <w:rsid w:val="00AE2931"/>
    <w:rsid w:val="00B26FCE"/>
    <w:rsid w:val="00B526BB"/>
    <w:rsid w:val="00C0462F"/>
    <w:rsid w:val="00D06888"/>
    <w:rsid w:val="00D21880"/>
    <w:rsid w:val="00D639B3"/>
    <w:rsid w:val="00E53F57"/>
    <w:rsid w:val="00E94CCC"/>
    <w:rsid w:val="00EC1B31"/>
    <w:rsid w:val="00EC5709"/>
    <w:rsid w:val="00F41A15"/>
    <w:rsid w:val="00F6783D"/>
    <w:rsid w:val="00FA3630"/>
    <w:rsid w:val="00FA3945"/>
    <w:rsid w:val="00FB62A8"/>
    <w:rsid w:val="00FE5C53"/>
    <w:rsid w:val="010B22B0"/>
    <w:rsid w:val="0152778A"/>
    <w:rsid w:val="016A7234"/>
    <w:rsid w:val="019F636B"/>
    <w:rsid w:val="01E70628"/>
    <w:rsid w:val="02111B48"/>
    <w:rsid w:val="02191B93"/>
    <w:rsid w:val="021A27AB"/>
    <w:rsid w:val="024940AC"/>
    <w:rsid w:val="02691E47"/>
    <w:rsid w:val="02E0225F"/>
    <w:rsid w:val="03042E56"/>
    <w:rsid w:val="031128A1"/>
    <w:rsid w:val="03323B24"/>
    <w:rsid w:val="03A06CFB"/>
    <w:rsid w:val="03DB5EC3"/>
    <w:rsid w:val="04481EBD"/>
    <w:rsid w:val="04671EF4"/>
    <w:rsid w:val="049464E4"/>
    <w:rsid w:val="04CD7FA9"/>
    <w:rsid w:val="0514315A"/>
    <w:rsid w:val="055E48FF"/>
    <w:rsid w:val="058D1AD1"/>
    <w:rsid w:val="05C20583"/>
    <w:rsid w:val="0637673A"/>
    <w:rsid w:val="064222D0"/>
    <w:rsid w:val="06426774"/>
    <w:rsid w:val="066E7569"/>
    <w:rsid w:val="06B36F15"/>
    <w:rsid w:val="07AC659B"/>
    <w:rsid w:val="07D966D4"/>
    <w:rsid w:val="08234384"/>
    <w:rsid w:val="08311EF7"/>
    <w:rsid w:val="08666B35"/>
    <w:rsid w:val="090E7051"/>
    <w:rsid w:val="092B22BA"/>
    <w:rsid w:val="09FD06C7"/>
    <w:rsid w:val="0A130D39"/>
    <w:rsid w:val="0A2E152E"/>
    <w:rsid w:val="0A3D5C6E"/>
    <w:rsid w:val="0AA25A34"/>
    <w:rsid w:val="0AF478D9"/>
    <w:rsid w:val="0B416FFB"/>
    <w:rsid w:val="0B5623D6"/>
    <w:rsid w:val="0BBD1BB7"/>
    <w:rsid w:val="0C1069CD"/>
    <w:rsid w:val="0C912573"/>
    <w:rsid w:val="0CC14878"/>
    <w:rsid w:val="0CF06F2A"/>
    <w:rsid w:val="0D2C77AB"/>
    <w:rsid w:val="0D386042"/>
    <w:rsid w:val="0D9074CF"/>
    <w:rsid w:val="0EAF6971"/>
    <w:rsid w:val="0FA500EE"/>
    <w:rsid w:val="103B653A"/>
    <w:rsid w:val="1091129E"/>
    <w:rsid w:val="10E943BC"/>
    <w:rsid w:val="115B06EA"/>
    <w:rsid w:val="116353B1"/>
    <w:rsid w:val="119B4C11"/>
    <w:rsid w:val="11EE6891"/>
    <w:rsid w:val="12CA5B28"/>
    <w:rsid w:val="12F82A26"/>
    <w:rsid w:val="12FD7F36"/>
    <w:rsid w:val="135C5C54"/>
    <w:rsid w:val="13767A5D"/>
    <w:rsid w:val="137B32C6"/>
    <w:rsid w:val="138E08A4"/>
    <w:rsid w:val="13C47F8F"/>
    <w:rsid w:val="13E6479A"/>
    <w:rsid w:val="141A4A04"/>
    <w:rsid w:val="149434CF"/>
    <w:rsid w:val="150D254A"/>
    <w:rsid w:val="152E620F"/>
    <w:rsid w:val="15823158"/>
    <w:rsid w:val="15E13EA0"/>
    <w:rsid w:val="160C7B92"/>
    <w:rsid w:val="16321CA0"/>
    <w:rsid w:val="164200CB"/>
    <w:rsid w:val="165566C9"/>
    <w:rsid w:val="1662483A"/>
    <w:rsid w:val="16844C58"/>
    <w:rsid w:val="16BE3E0B"/>
    <w:rsid w:val="171720BE"/>
    <w:rsid w:val="171E6442"/>
    <w:rsid w:val="177C3D8C"/>
    <w:rsid w:val="180318CC"/>
    <w:rsid w:val="183E42D5"/>
    <w:rsid w:val="18482D61"/>
    <w:rsid w:val="186B3909"/>
    <w:rsid w:val="18A8690B"/>
    <w:rsid w:val="191E6BCD"/>
    <w:rsid w:val="19546ABF"/>
    <w:rsid w:val="19C239FC"/>
    <w:rsid w:val="19EA5CF9"/>
    <w:rsid w:val="1A4E34E2"/>
    <w:rsid w:val="1A5F2FF5"/>
    <w:rsid w:val="1A6B4E2F"/>
    <w:rsid w:val="1A8011C2"/>
    <w:rsid w:val="1A8C709B"/>
    <w:rsid w:val="1B0411EB"/>
    <w:rsid w:val="1B19724B"/>
    <w:rsid w:val="1B7C7BDB"/>
    <w:rsid w:val="1BAA299A"/>
    <w:rsid w:val="1C3F555E"/>
    <w:rsid w:val="1C6F052C"/>
    <w:rsid w:val="1CA51E46"/>
    <w:rsid w:val="1CDC3027"/>
    <w:rsid w:val="1CEE61AF"/>
    <w:rsid w:val="1CFD311A"/>
    <w:rsid w:val="1DC32AB0"/>
    <w:rsid w:val="1DF924BB"/>
    <w:rsid w:val="1E131DE9"/>
    <w:rsid w:val="1E1D0276"/>
    <w:rsid w:val="1E675D84"/>
    <w:rsid w:val="1E71779F"/>
    <w:rsid w:val="1EB91324"/>
    <w:rsid w:val="1EE337BD"/>
    <w:rsid w:val="1F271CAA"/>
    <w:rsid w:val="1F413615"/>
    <w:rsid w:val="1F77A155"/>
    <w:rsid w:val="1FAD3208"/>
    <w:rsid w:val="200E3672"/>
    <w:rsid w:val="205B30AA"/>
    <w:rsid w:val="20825381"/>
    <w:rsid w:val="210D5506"/>
    <w:rsid w:val="211F7986"/>
    <w:rsid w:val="21626594"/>
    <w:rsid w:val="21753288"/>
    <w:rsid w:val="21840B15"/>
    <w:rsid w:val="21A26B3B"/>
    <w:rsid w:val="21E17586"/>
    <w:rsid w:val="21E70DC8"/>
    <w:rsid w:val="21FA33ED"/>
    <w:rsid w:val="221744C1"/>
    <w:rsid w:val="22440DE5"/>
    <w:rsid w:val="225368FE"/>
    <w:rsid w:val="22C47F1D"/>
    <w:rsid w:val="2303032F"/>
    <w:rsid w:val="23030D01"/>
    <w:rsid w:val="23BE5BB1"/>
    <w:rsid w:val="245060A9"/>
    <w:rsid w:val="24A737B9"/>
    <w:rsid w:val="24A74DE7"/>
    <w:rsid w:val="24A9524E"/>
    <w:rsid w:val="25503669"/>
    <w:rsid w:val="25A16BBC"/>
    <w:rsid w:val="25B368EF"/>
    <w:rsid w:val="25FD7B6A"/>
    <w:rsid w:val="265B26B4"/>
    <w:rsid w:val="272148DA"/>
    <w:rsid w:val="27602AA7"/>
    <w:rsid w:val="27C879CA"/>
    <w:rsid w:val="27D34E29"/>
    <w:rsid w:val="28165919"/>
    <w:rsid w:val="284F59AF"/>
    <w:rsid w:val="2857372C"/>
    <w:rsid w:val="2877595F"/>
    <w:rsid w:val="28EB4195"/>
    <w:rsid w:val="290179D1"/>
    <w:rsid w:val="291D0BE8"/>
    <w:rsid w:val="293844A5"/>
    <w:rsid w:val="29842A7C"/>
    <w:rsid w:val="2985212C"/>
    <w:rsid w:val="29935C80"/>
    <w:rsid w:val="29B729DA"/>
    <w:rsid w:val="2A6B7798"/>
    <w:rsid w:val="2A712560"/>
    <w:rsid w:val="2AD07385"/>
    <w:rsid w:val="2ADB491E"/>
    <w:rsid w:val="2AE82F26"/>
    <w:rsid w:val="2AEF074F"/>
    <w:rsid w:val="2AFB6D6E"/>
    <w:rsid w:val="2B575927"/>
    <w:rsid w:val="2B5D60FF"/>
    <w:rsid w:val="2B801021"/>
    <w:rsid w:val="2B920D55"/>
    <w:rsid w:val="2C5A6534"/>
    <w:rsid w:val="2C6B57F0"/>
    <w:rsid w:val="2CA214A3"/>
    <w:rsid w:val="2CAD4098"/>
    <w:rsid w:val="2D06287C"/>
    <w:rsid w:val="2DE71976"/>
    <w:rsid w:val="2DEA47B6"/>
    <w:rsid w:val="2DFC60C9"/>
    <w:rsid w:val="2E006480"/>
    <w:rsid w:val="2E0E4630"/>
    <w:rsid w:val="2E611A10"/>
    <w:rsid w:val="2E865FE3"/>
    <w:rsid w:val="2EE54BFF"/>
    <w:rsid w:val="2F564DF5"/>
    <w:rsid w:val="2F823C94"/>
    <w:rsid w:val="2FBB6ACC"/>
    <w:rsid w:val="30062802"/>
    <w:rsid w:val="30703150"/>
    <w:rsid w:val="3096449B"/>
    <w:rsid w:val="309D023C"/>
    <w:rsid w:val="30CD29DF"/>
    <w:rsid w:val="30E360FC"/>
    <w:rsid w:val="30F8172A"/>
    <w:rsid w:val="324C6101"/>
    <w:rsid w:val="32C217D7"/>
    <w:rsid w:val="33131F65"/>
    <w:rsid w:val="33356B95"/>
    <w:rsid w:val="333D5A4A"/>
    <w:rsid w:val="338F7DF9"/>
    <w:rsid w:val="33C83D9A"/>
    <w:rsid w:val="33E02FA5"/>
    <w:rsid w:val="340B4730"/>
    <w:rsid w:val="342B6015"/>
    <w:rsid w:val="344C4197"/>
    <w:rsid w:val="345D3F16"/>
    <w:rsid w:val="349A75F8"/>
    <w:rsid w:val="34C42FEC"/>
    <w:rsid w:val="34C44A9F"/>
    <w:rsid w:val="34E95E89"/>
    <w:rsid w:val="35AA1074"/>
    <w:rsid w:val="35AB1391"/>
    <w:rsid w:val="35DF23A7"/>
    <w:rsid w:val="35EB1F0C"/>
    <w:rsid w:val="35EF6CEF"/>
    <w:rsid w:val="35F1149A"/>
    <w:rsid w:val="363223FE"/>
    <w:rsid w:val="36687282"/>
    <w:rsid w:val="36991E67"/>
    <w:rsid w:val="36A43076"/>
    <w:rsid w:val="3701395E"/>
    <w:rsid w:val="37C50EBE"/>
    <w:rsid w:val="37D57125"/>
    <w:rsid w:val="3825367C"/>
    <w:rsid w:val="383006A3"/>
    <w:rsid w:val="383B2EA0"/>
    <w:rsid w:val="38A7440B"/>
    <w:rsid w:val="38F97F5E"/>
    <w:rsid w:val="39581830"/>
    <w:rsid w:val="39650654"/>
    <w:rsid w:val="396665B7"/>
    <w:rsid w:val="39F85F8A"/>
    <w:rsid w:val="3A0B68A2"/>
    <w:rsid w:val="3A233156"/>
    <w:rsid w:val="3A661D2A"/>
    <w:rsid w:val="3A72247D"/>
    <w:rsid w:val="3A8F6097"/>
    <w:rsid w:val="3AB17F29"/>
    <w:rsid w:val="3AB760D7"/>
    <w:rsid w:val="3ACB7183"/>
    <w:rsid w:val="3B2F65C0"/>
    <w:rsid w:val="3B3F4A55"/>
    <w:rsid w:val="3B567B7C"/>
    <w:rsid w:val="3B650D53"/>
    <w:rsid w:val="3B659E2F"/>
    <w:rsid w:val="3B763F8B"/>
    <w:rsid w:val="3B765A19"/>
    <w:rsid w:val="3B9114CB"/>
    <w:rsid w:val="3B980E56"/>
    <w:rsid w:val="3BA9309C"/>
    <w:rsid w:val="3C1852A6"/>
    <w:rsid w:val="3C577B7C"/>
    <w:rsid w:val="3CA40E91"/>
    <w:rsid w:val="3CB1776E"/>
    <w:rsid w:val="3CF724F5"/>
    <w:rsid w:val="3CF74EBC"/>
    <w:rsid w:val="3D5B5332"/>
    <w:rsid w:val="3D6B64F2"/>
    <w:rsid w:val="3D714B0D"/>
    <w:rsid w:val="3D74475E"/>
    <w:rsid w:val="3E280044"/>
    <w:rsid w:val="3E2E0DB1"/>
    <w:rsid w:val="3E6842C3"/>
    <w:rsid w:val="3E893D67"/>
    <w:rsid w:val="3EC86B10"/>
    <w:rsid w:val="3F04526F"/>
    <w:rsid w:val="3F4C1D84"/>
    <w:rsid w:val="3F7841FF"/>
    <w:rsid w:val="3F7E6368"/>
    <w:rsid w:val="3FBE44C2"/>
    <w:rsid w:val="3FDD0EF6"/>
    <w:rsid w:val="400B13AA"/>
    <w:rsid w:val="403C19BB"/>
    <w:rsid w:val="414D75B2"/>
    <w:rsid w:val="415E1BCB"/>
    <w:rsid w:val="41866D38"/>
    <w:rsid w:val="421307B8"/>
    <w:rsid w:val="425F0874"/>
    <w:rsid w:val="42B71375"/>
    <w:rsid w:val="43016A94"/>
    <w:rsid w:val="43052B67"/>
    <w:rsid w:val="4391369E"/>
    <w:rsid w:val="43A91769"/>
    <w:rsid w:val="440C56F0"/>
    <w:rsid w:val="4432296D"/>
    <w:rsid w:val="444055F8"/>
    <w:rsid w:val="44B02520"/>
    <w:rsid w:val="44C06C88"/>
    <w:rsid w:val="44E1092B"/>
    <w:rsid w:val="451D39CE"/>
    <w:rsid w:val="452F5B3A"/>
    <w:rsid w:val="453273D9"/>
    <w:rsid w:val="453347DD"/>
    <w:rsid w:val="458528A9"/>
    <w:rsid w:val="45C538D3"/>
    <w:rsid w:val="45FE550D"/>
    <w:rsid w:val="46353A32"/>
    <w:rsid w:val="46671FE8"/>
    <w:rsid w:val="46685E10"/>
    <w:rsid w:val="46982C73"/>
    <w:rsid w:val="469A6FE4"/>
    <w:rsid w:val="46B06807"/>
    <w:rsid w:val="46BB5FBA"/>
    <w:rsid w:val="47652E0C"/>
    <w:rsid w:val="47707270"/>
    <w:rsid w:val="47791318"/>
    <w:rsid w:val="47AB07B2"/>
    <w:rsid w:val="48627F21"/>
    <w:rsid w:val="495055CA"/>
    <w:rsid w:val="497E4B66"/>
    <w:rsid w:val="49CC7D5B"/>
    <w:rsid w:val="4A5062E1"/>
    <w:rsid w:val="4A790BF3"/>
    <w:rsid w:val="4A857FAB"/>
    <w:rsid w:val="4B156DB1"/>
    <w:rsid w:val="4B180A11"/>
    <w:rsid w:val="4B1F21AD"/>
    <w:rsid w:val="4BAC3CFB"/>
    <w:rsid w:val="4C012BBE"/>
    <w:rsid w:val="4C082BE0"/>
    <w:rsid w:val="4CCF7D94"/>
    <w:rsid w:val="4D322037"/>
    <w:rsid w:val="4D3C072C"/>
    <w:rsid w:val="4D60305F"/>
    <w:rsid w:val="4D8F2459"/>
    <w:rsid w:val="4DC94D91"/>
    <w:rsid w:val="4DFB34B4"/>
    <w:rsid w:val="4E827ABD"/>
    <w:rsid w:val="4EAD7AD0"/>
    <w:rsid w:val="4EFA6CC1"/>
    <w:rsid w:val="4F0C733E"/>
    <w:rsid w:val="4FD878AE"/>
    <w:rsid w:val="4FEF4EAA"/>
    <w:rsid w:val="50823DCC"/>
    <w:rsid w:val="508C6DBB"/>
    <w:rsid w:val="50B96100"/>
    <w:rsid w:val="5180553C"/>
    <w:rsid w:val="51CE66DB"/>
    <w:rsid w:val="520424D8"/>
    <w:rsid w:val="522820CA"/>
    <w:rsid w:val="523F1C06"/>
    <w:rsid w:val="52B14033"/>
    <w:rsid w:val="52C13449"/>
    <w:rsid w:val="533E33EC"/>
    <w:rsid w:val="53903F82"/>
    <w:rsid w:val="540A1CEF"/>
    <w:rsid w:val="542425E2"/>
    <w:rsid w:val="54B576DE"/>
    <w:rsid w:val="54C9782C"/>
    <w:rsid w:val="567C046F"/>
    <w:rsid w:val="56903F4C"/>
    <w:rsid w:val="56B51C18"/>
    <w:rsid w:val="56CD0096"/>
    <w:rsid w:val="57AD28EF"/>
    <w:rsid w:val="57F427B1"/>
    <w:rsid w:val="5842572D"/>
    <w:rsid w:val="58BD7536"/>
    <w:rsid w:val="58F24A5D"/>
    <w:rsid w:val="59154BEF"/>
    <w:rsid w:val="59457283"/>
    <w:rsid w:val="5A260953"/>
    <w:rsid w:val="5A3966BC"/>
    <w:rsid w:val="5A6F322D"/>
    <w:rsid w:val="5A7140A7"/>
    <w:rsid w:val="5AFB7C13"/>
    <w:rsid w:val="5B0F5B27"/>
    <w:rsid w:val="5B382675"/>
    <w:rsid w:val="5BC776FE"/>
    <w:rsid w:val="5C806824"/>
    <w:rsid w:val="5C881D8C"/>
    <w:rsid w:val="5C8B1C6C"/>
    <w:rsid w:val="5CE110EE"/>
    <w:rsid w:val="5D1A2482"/>
    <w:rsid w:val="5D5073D5"/>
    <w:rsid w:val="5D8C4A1C"/>
    <w:rsid w:val="5DAA50DB"/>
    <w:rsid w:val="5EA676E8"/>
    <w:rsid w:val="5EAA3F5C"/>
    <w:rsid w:val="5ED26194"/>
    <w:rsid w:val="5EE277B7"/>
    <w:rsid w:val="5F3C645A"/>
    <w:rsid w:val="5F535E81"/>
    <w:rsid w:val="60E07891"/>
    <w:rsid w:val="61451E8C"/>
    <w:rsid w:val="616A71E6"/>
    <w:rsid w:val="616E4B0E"/>
    <w:rsid w:val="6173720D"/>
    <w:rsid w:val="61A60ADB"/>
    <w:rsid w:val="61F061FA"/>
    <w:rsid w:val="61FA4C0B"/>
    <w:rsid w:val="62B57844"/>
    <w:rsid w:val="62CE25AA"/>
    <w:rsid w:val="62EE098B"/>
    <w:rsid w:val="632E2B36"/>
    <w:rsid w:val="63C86E42"/>
    <w:rsid w:val="63D640D5"/>
    <w:rsid w:val="64093F70"/>
    <w:rsid w:val="642C7EC6"/>
    <w:rsid w:val="644E5372"/>
    <w:rsid w:val="645A055E"/>
    <w:rsid w:val="64711C79"/>
    <w:rsid w:val="648669A1"/>
    <w:rsid w:val="64947310"/>
    <w:rsid w:val="64AF3332"/>
    <w:rsid w:val="64B47DDD"/>
    <w:rsid w:val="64E57B6C"/>
    <w:rsid w:val="64E831B8"/>
    <w:rsid w:val="64F955BE"/>
    <w:rsid w:val="65362175"/>
    <w:rsid w:val="654F73EE"/>
    <w:rsid w:val="65D56C8D"/>
    <w:rsid w:val="66335C2E"/>
    <w:rsid w:val="664A412A"/>
    <w:rsid w:val="66617310"/>
    <w:rsid w:val="66CB74B4"/>
    <w:rsid w:val="66DE4873"/>
    <w:rsid w:val="6704486C"/>
    <w:rsid w:val="67242BCD"/>
    <w:rsid w:val="675B4FAA"/>
    <w:rsid w:val="676669DA"/>
    <w:rsid w:val="67876D0B"/>
    <w:rsid w:val="67C1666E"/>
    <w:rsid w:val="67DD0D16"/>
    <w:rsid w:val="687B6DF6"/>
    <w:rsid w:val="68CE1110"/>
    <w:rsid w:val="68FA60EA"/>
    <w:rsid w:val="691E1EA2"/>
    <w:rsid w:val="69392540"/>
    <w:rsid w:val="698271A0"/>
    <w:rsid w:val="699A0A44"/>
    <w:rsid w:val="69B801FE"/>
    <w:rsid w:val="69B8584F"/>
    <w:rsid w:val="69CF4947"/>
    <w:rsid w:val="6A2922A9"/>
    <w:rsid w:val="6A67569D"/>
    <w:rsid w:val="6A747A9D"/>
    <w:rsid w:val="6B014303"/>
    <w:rsid w:val="6B0A1A3F"/>
    <w:rsid w:val="6B1D0736"/>
    <w:rsid w:val="6B5F1CE8"/>
    <w:rsid w:val="6B7B3CF2"/>
    <w:rsid w:val="6B981494"/>
    <w:rsid w:val="6BE82FF2"/>
    <w:rsid w:val="6C5D0CD2"/>
    <w:rsid w:val="6CDB00EA"/>
    <w:rsid w:val="6CDB4E48"/>
    <w:rsid w:val="6D623205"/>
    <w:rsid w:val="6D7F70DC"/>
    <w:rsid w:val="6D9B3AD4"/>
    <w:rsid w:val="6DB77BCC"/>
    <w:rsid w:val="6DF42BCE"/>
    <w:rsid w:val="6E427DDD"/>
    <w:rsid w:val="6E650D0B"/>
    <w:rsid w:val="6E6E60C5"/>
    <w:rsid w:val="6E7677CE"/>
    <w:rsid w:val="6E7D0E15"/>
    <w:rsid w:val="6EF06091"/>
    <w:rsid w:val="6FDB5DF3"/>
    <w:rsid w:val="6FE93B2A"/>
    <w:rsid w:val="70014290"/>
    <w:rsid w:val="709C35CE"/>
    <w:rsid w:val="710F61AD"/>
    <w:rsid w:val="712D2BE4"/>
    <w:rsid w:val="717C7162"/>
    <w:rsid w:val="719C7804"/>
    <w:rsid w:val="72874010"/>
    <w:rsid w:val="72FA2A34"/>
    <w:rsid w:val="73145902"/>
    <w:rsid w:val="732D5235"/>
    <w:rsid w:val="734C18F1"/>
    <w:rsid w:val="73C929DA"/>
    <w:rsid w:val="745919DD"/>
    <w:rsid w:val="746F32AA"/>
    <w:rsid w:val="74A53CEF"/>
    <w:rsid w:val="74AF4CFD"/>
    <w:rsid w:val="74C50E20"/>
    <w:rsid w:val="74C57072"/>
    <w:rsid w:val="74CE5F27"/>
    <w:rsid w:val="74D43C38"/>
    <w:rsid w:val="75B1400D"/>
    <w:rsid w:val="75BF3AC1"/>
    <w:rsid w:val="76257DC8"/>
    <w:rsid w:val="765100CE"/>
    <w:rsid w:val="765E14DE"/>
    <w:rsid w:val="76CC293A"/>
    <w:rsid w:val="78672956"/>
    <w:rsid w:val="79B7342D"/>
    <w:rsid w:val="7A446A62"/>
    <w:rsid w:val="7ABC2F7C"/>
    <w:rsid w:val="7AD7296F"/>
    <w:rsid w:val="7B214F00"/>
    <w:rsid w:val="7B34086B"/>
    <w:rsid w:val="7B811766"/>
    <w:rsid w:val="7B9A3006"/>
    <w:rsid w:val="7BF6FF44"/>
    <w:rsid w:val="7C8233E8"/>
    <w:rsid w:val="7C9A6352"/>
    <w:rsid w:val="7CD442F6"/>
    <w:rsid w:val="7CEF3B23"/>
    <w:rsid w:val="7D006E99"/>
    <w:rsid w:val="7D7428B1"/>
    <w:rsid w:val="7D8256FE"/>
    <w:rsid w:val="7DA37D9E"/>
    <w:rsid w:val="7DA9325B"/>
    <w:rsid w:val="7E1150D6"/>
    <w:rsid w:val="7E4E876D"/>
    <w:rsid w:val="7E671F48"/>
    <w:rsid w:val="7E991353"/>
    <w:rsid w:val="7EE01784"/>
    <w:rsid w:val="7EF401A0"/>
    <w:rsid w:val="7FBC4655"/>
    <w:rsid w:val="7FFF5B2E"/>
    <w:rsid w:val="7FFF753C"/>
    <w:rsid w:val="BCFFD6AA"/>
    <w:rsid w:val="D7B76570"/>
    <w:rsid w:val="DFA0F97B"/>
    <w:rsid w:val="F9F36CFE"/>
    <w:rsid w:val="FA4F0C84"/>
    <w:rsid w:val="FC7FBE4D"/>
    <w:rsid w:val="FFFFE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qFormat="1" w:uiPriority="0" w:name="toc 5"/>
    <w:lsdException w:qFormat="1" w:uiPriority="0" w:name="toc 6"/>
    <w:lsdException w:uiPriority="39" w:name="toc 7"/>
    <w:lsdException w:uiPriority="39" w:name="toc 8"/>
    <w:lsdException w:uiPriority="39" w:name="toc 9"/>
    <w:lsdException w:qFormat="1" w:uiPriority="0" w:name="Normal Indent"/>
    <w:lsdException w:qFormat="1" w:uiPriority="0"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qFormat="1" w:uiPriority="0" w:name="envelope return"/>
    <w:lsdException w:qFormat="1" w:uiPriority="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qFormat="1" w:uiPriority="99" w:name="List Bullet"/>
    <w:lsdException w:qFormat="1" w:uiPriority="0" w:name="List Number"/>
    <w:lsdException w:qFormat="1" w:uiPriority="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60"/>
    <w:qFormat/>
    <w:uiPriority w:val="0"/>
    <w:pPr>
      <w:keepNext/>
      <w:keepLines/>
      <w:spacing w:before="340" w:after="330" w:line="576" w:lineRule="auto"/>
      <w:outlineLvl w:val="0"/>
    </w:pPr>
    <w:rPr>
      <w:b/>
      <w:bCs/>
      <w:kern w:val="44"/>
      <w:sz w:val="44"/>
      <w:szCs w:val="44"/>
    </w:rPr>
  </w:style>
  <w:style w:type="paragraph" w:styleId="5">
    <w:name w:val="heading 2"/>
    <w:basedOn w:val="1"/>
    <w:next w:val="6"/>
    <w:link w:val="61"/>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7">
    <w:name w:val="heading 3"/>
    <w:basedOn w:val="1"/>
    <w:next w:val="1"/>
    <w:link w:val="62"/>
    <w:semiHidden/>
    <w:unhideWhenUsed/>
    <w:qFormat/>
    <w:uiPriority w:val="0"/>
    <w:pPr>
      <w:keepNext/>
      <w:keepLines/>
      <w:spacing w:before="260" w:after="260" w:line="412" w:lineRule="auto"/>
      <w:outlineLvl w:val="2"/>
    </w:pPr>
    <w:rPr>
      <w:b/>
      <w:bCs/>
      <w:sz w:val="32"/>
      <w:szCs w:val="32"/>
    </w:rPr>
  </w:style>
  <w:style w:type="paragraph" w:styleId="8">
    <w:name w:val="heading 4"/>
    <w:basedOn w:val="1"/>
    <w:next w:val="1"/>
    <w:link w:val="63"/>
    <w:semiHidden/>
    <w:unhideWhenUsed/>
    <w:qFormat/>
    <w:uiPriority w:val="0"/>
    <w:pPr>
      <w:keepNext/>
      <w:keepLines/>
      <w:spacing w:before="280" w:after="290" w:line="372" w:lineRule="auto"/>
      <w:outlineLvl w:val="3"/>
    </w:pPr>
    <w:rPr>
      <w:rFonts w:ascii="Arial" w:hAnsi="Arial" w:eastAsia="黑体"/>
      <w:b/>
      <w:bCs/>
      <w:szCs w:val="28"/>
    </w:rPr>
  </w:style>
  <w:style w:type="paragraph" w:styleId="9">
    <w:name w:val="heading 5"/>
    <w:basedOn w:val="1"/>
    <w:next w:val="1"/>
    <w:link w:val="64"/>
    <w:semiHidden/>
    <w:unhideWhenUsed/>
    <w:qFormat/>
    <w:uiPriority w:val="0"/>
    <w:pPr>
      <w:keepNext/>
      <w:keepLines/>
      <w:widowControl/>
      <w:tabs>
        <w:tab w:val="left" w:pos="1008"/>
      </w:tabs>
      <w:spacing w:before="280" w:after="290" w:line="372" w:lineRule="auto"/>
      <w:ind w:left="1008" w:hanging="1008"/>
      <w:jc w:val="left"/>
      <w:outlineLvl w:val="4"/>
    </w:pPr>
    <w:rPr>
      <w:b/>
      <w:bCs/>
      <w:kern w:val="0"/>
      <w:szCs w:val="28"/>
    </w:rPr>
  </w:style>
  <w:style w:type="paragraph" w:styleId="10">
    <w:name w:val="heading 6"/>
    <w:basedOn w:val="1"/>
    <w:next w:val="1"/>
    <w:link w:val="65"/>
    <w:semiHidden/>
    <w:unhideWhenUsed/>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rPr>
  </w:style>
  <w:style w:type="paragraph" w:styleId="11">
    <w:name w:val="heading 7"/>
    <w:basedOn w:val="1"/>
    <w:next w:val="1"/>
    <w:link w:val="66"/>
    <w:semiHidden/>
    <w:unhideWhenUsed/>
    <w:qFormat/>
    <w:uiPriority w:val="0"/>
    <w:pPr>
      <w:keepNext/>
      <w:keepLines/>
      <w:widowControl/>
      <w:tabs>
        <w:tab w:val="left" w:pos="2520"/>
      </w:tabs>
      <w:spacing w:before="240" w:after="64" w:line="316" w:lineRule="auto"/>
      <w:ind w:left="1296" w:hanging="1296"/>
      <w:jc w:val="left"/>
      <w:outlineLvl w:val="6"/>
    </w:pPr>
    <w:rPr>
      <w:b/>
      <w:bCs/>
      <w:kern w:val="0"/>
      <w:sz w:val="24"/>
    </w:rPr>
  </w:style>
  <w:style w:type="paragraph" w:styleId="12">
    <w:name w:val="heading 8"/>
    <w:basedOn w:val="1"/>
    <w:next w:val="1"/>
    <w:link w:val="67"/>
    <w:semiHidden/>
    <w:unhideWhenUsed/>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rPr>
  </w:style>
  <w:style w:type="paragraph" w:styleId="13">
    <w:name w:val="heading 9"/>
    <w:basedOn w:val="1"/>
    <w:next w:val="1"/>
    <w:link w:val="68"/>
    <w:semiHidden/>
    <w:unhideWhenUsed/>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 w:val="21"/>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3"/>
    <w:link w:val="86"/>
    <w:semiHidden/>
    <w:unhideWhenUsed/>
    <w:qFormat/>
    <w:uiPriority w:val="0"/>
    <w:pPr>
      <w:shd w:val="clear" w:color="auto" w:fill="000080"/>
    </w:pPr>
    <w:rPr>
      <w:kern w:val="0"/>
      <w:sz w:val="20"/>
    </w:rPr>
  </w:style>
  <w:style w:type="paragraph" w:styleId="3">
    <w:name w:val="Plain Text"/>
    <w:basedOn w:val="1"/>
    <w:next w:val="1"/>
    <w:link w:val="87"/>
    <w:semiHidden/>
    <w:unhideWhenUsed/>
    <w:qFormat/>
    <w:uiPriority w:val="0"/>
    <w:pPr>
      <w:spacing w:beforeLines="50" w:afterLines="50" w:line="400" w:lineRule="atLeast"/>
    </w:pPr>
    <w:rPr>
      <w:rFonts w:ascii="宋体" w:hAnsi="Courier New"/>
      <w:sz w:val="24"/>
    </w:rPr>
  </w:style>
  <w:style w:type="paragraph" w:customStyle="1" w:styleId="6">
    <w:name w:val="标准正文"/>
    <w:basedOn w:val="1"/>
    <w:qFormat/>
    <w:uiPriority w:val="0"/>
    <w:pPr>
      <w:tabs>
        <w:tab w:val="left" w:pos="780"/>
      </w:tabs>
      <w:adjustRightInd/>
      <w:spacing w:line="360" w:lineRule="auto"/>
      <w:ind w:left="200" w:leftChars="200" w:firstLine="200" w:firstLineChars="200"/>
    </w:pPr>
    <w:rPr>
      <w:sz w:val="24"/>
    </w:rPr>
  </w:style>
  <w:style w:type="paragraph" w:styleId="14">
    <w:name w:val="List Number"/>
    <w:basedOn w:val="1"/>
    <w:semiHidden/>
    <w:unhideWhenUsed/>
    <w:qFormat/>
    <w:uiPriority w:val="0"/>
    <w:pPr>
      <w:widowControl/>
      <w:tabs>
        <w:tab w:val="left" w:pos="454"/>
        <w:tab w:val="left" w:pos="720"/>
        <w:tab w:val="left" w:pos="900"/>
      </w:tabs>
      <w:spacing w:afterLines="50"/>
      <w:ind w:left="454" w:hanging="284"/>
      <w:jc w:val="left"/>
    </w:pPr>
    <w:rPr>
      <w:kern w:val="0"/>
      <w:sz w:val="24"/>
      <w:szCs w:val="20"/>
    </w:rPr>
  </w:style>
  <w:style w:type="paragraph" w:styleId="15">
    <w:name w:val="Normal Indent"/>
    <w:basedOn w:val="1"/>
    <w:next w:val="1"/>
    <w:link w:val="71"/>
    <w:semiHidden/>
    <w:unhideWhenUsed/>
    <w:qFormat/>
    <w:uiPriority w:val="0"/>
    <w:pPr>
      <w:ind w:firstLine="420"/>
    </w:pPr>
    <w:rPr>
      <w:rFonts w:asciiTheme="minorHAnsi" w:hAnsiTheme="minorHAnsi" w:eastAsiaTheme="minorEastAsia" w:cstheme="minorBidi"/>
      <w:sz w:val="21"/>
      <w:szCs w:val="22"/>
    </w:rPr>
  </w:style>
  <w:style w:type="paragraph" w:styleId="16">
    <w:name w:val="caption"/>
    <w:basedOn w:val="1"/>
    <w:next w:val="1"/>
    <w:semiHidden/>
    <w:unhideWhenUsed/>
    <w:qFormat/>
    <w:uiPriority w:val="0"/>
    <w:pPr>
      <w:spacing w:before="152" w:after="160"/>
    </w:pPr>
    <w:rPr>
      <w:rFonts w:ascii="Arial" w:hAnsi="Arial" w:eastAsia="黑体" w:cs="Arial"/>
      <w:sz w:val="20"/>
      <w:szCs w:val="20"/>
    </w:rPr>
  </w:style>
  <w:style w:type="paragraph" w:styleId="17">
    <w:name w:val="List Bullet"/>
    <w:basedOn w:val="1"/>
    <w:next w:val="1"/>
    <w:semiHidden/>
    <w:unhideWhenUsed/>
    <w:qFormat/>
    <w:uiPriority w:val="99"/>
    <w:pPr>
      <w:numPr>
        <w:ilvl w:val="0"/>
        <w:numId w:val="1"/>
      </w:numPr>
    </w:pPr>
  </w:style>
  <w:style w:type="paragraph" w:styleId="18">
    <w:name w:val="toa heading"/>
    <w:basedOn w:val="1"/>
    <w:next w:val="1"/>
    <w:semiHidden/>
    <w:unhideWhenUsed/>
    <w:qFormat/>
    <w:uiPriority w:val="0"/>
    <w:pPr>
      <w:spacing w:before="120"/>
    </w:pPr>
    <w:rPr>
      <w:rFonts w:ascii="Arial" w:hAnsi="Arial" w:cs="Arial"/>
      <w:sz w:val="24"/>
    </w:rPr>
  </w:style>
  <w:style w:type="paragraph" w:styleId="19">
    <w:name w:val="annotation text"/>
    <w:basedOn w:val="1"/>
    <w:next w:val="20"/>
    <w:link w:val="73"/>
    <w:semiHidden/>
    <w:unhideWhenUsed/>
    <w:qFormat/>
    <w:uiPriority w:val="0"/>
    <w:pPr>
      <w:jc w:val="left"/>
    </w:pPr>
    <w:rPr>
      <w:sz w:val="21"/>
    </w:rPr>
  </w:style>
  <w:style w:type="paragraph" w:customStyle="1" w:styleId="20">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1">
    <w:name w:val="Body Text 3"/>
    <w:basedOn w:val="1"/>
    <w:link w:val="83"/>
    <w:semiHidden/>
    <w:unhideWhenUsed/>
    <w:qFormat/>
    <w:uiPriority w:val="0"/>
    <w:pPr>
      <w:snapToGrid w:val="0"/>
      <w:spacing w:before="50" w:after="50"/>
    </w:pPr>
    <w:rPr>
      <w:rFonts w:hAnsi="宋体" w:eastAsia="仿宋_GB2312"/>
      <w:b/>
      <w:bCs/>
      <w:sz w:val="24"/>
      <w:szCs w:val="20"/>
    </w:rPr>
  </w:style>
  <w:style w:type="paragraph" w:styleId="22">
    <w:name w:val="Body Text"/>
    <w:basedOn w:val="1"/>
    <w:next w:val="23"/>
    <w:link w:val="76"/>
    <w:semiHidden/>
    <w:unhideWhenUsed/>
    <w:qFormat/>
    <w:uiPriority w:val="0"/>
    <w:pPr>
      <w:spacing w:after="120"/>
    </w:pPr>
  </w:style>
  <w:style w:type="paragraph" w:styleId="23">
    <w:name w:val="Body Text First Indent"/>
    <w:basedOn w:val="22"/>
    <w:next w:val="1"/>
    <w:link w:val="77"/>
    <w:semiHidden/>
    <w:unhideWhenUsed/>
    <w:qFormat/>
    <w:uiPriority w:val="0"/>
    <w:pPr>
      <w:tabs>
        <w:tab w:val="left" w:pos="574"/>
      </w:tabs>
      <w:ind w:firstLine="420" w:firstLineChars="100"/>
    </w:pPr>
  </w:style>
  <w:style w:type="paragraph" w:styleId="24">
    <w:name w:val="Body Text Indent"/>
    <w:basedOn w:val="1"/>
    <w:next w:val="1"/>
    <w:link w:val="78"/>
    <w:semiHidden/>
    <w:unhideWhenUsed/>
    <w:qFormat/>
    <w:uiPriority w:val="0"/>
    <w:pPr>
      <w:spacing w:line="200" w:lineRule="atLeast"/>
      <w:ind w:firstLine="301"/>
    </w:pPr>
    <w:rPr>
      <w:rFonts w:ascii="宋体" w:hAnsi="Courier New"/>
      <w:spacing w:val="-4"/>
      <w:sz w:val="18"/>
      <w:szCs w:val="20"/>
    </w:rPr>
  </w:style>
  <w:style w:type="paragraph" w:styleId="25">
    <w:name w:val="List Number 3"/>
    <w:basedOn w:val="1"/>
    <w:semiHidden/>
    <w:unhideWhenUsed/>
    <w:qFormat/>
    <w:uiPriority w:val="0"/>
    <w:pPr>
      <w:numPr>
        <w:ilvl w:val="0"/>
        <w:numId w:val="2"/>
      </w:numPr>
      <w:ind w:left="720"/>
    </w:pPr>
    <w:rPr>
      <w:sz w:val="21"/>
    </w:rPr>
  </w:style>
  <w:style w:type="paragraph" w:styleId="26">
    <w:name w:val="List 2"/>
    <w:basedOn w:val="1"/>
    <w:semiHidden/>
    <w:unhideWhenUsed/>
    <w:qFormat/>
    <w:uiPriority w:val="0"/>
    <w:pPr>
      <w:ind w:left="200" w:leftChars="200" w:hanging="200" w:hangingChars="200"/>
    </w:pPr>
  </w:style>
  <w:style w:type="paragraph" w:styleId="27">
    <w:name w:val="Block Text"/>
    <w:basedOn w:val="1"/>
    <w:semiHidden/>
    <w:unhideWhenUsed/>
    <w:qFormat/>
    <w:uiPriority w:val="0"/>
    <w:pPr>
      <w:autoSpaceDE w:val="0"/>
      <w:autoSpaceDN w:val="0"/>
      <w:adjustRightInd w:val="0"/>
      <w:spacing w:line="240" w:lineRule="atLeast"/>
      <w:ind w:left="1797" w:right="857" w:rightChars="857" w:firstLine="542" w:firstLineChars="226"/>
      <w:jc w:val="left"/>
    </w:pPr>
    <w:rPr>
      <w:rFonts w:ascii="宋体"/>
      <w:color w:val="000000"/>
      <w:kern w:val="0"/>
      <w:sz w:val="24"/>
    </w:rPr>
  </w:style>
  <w:style w:type="paragraph" w:styleId="28">
    <w:name w:val="List Bullet 2"/>
    <w:basedOn w:val="1"/>
    <w:next w:val="17"/>
    <w:semiHidden/>
    <w:unhideWhenUsed/>
    <w:qFormat/>
    <w:uiPriority w:val="99"/>
    <w:pPr>
      <w:numPr>
        <w:ilvl w:val="0"/>
        <w:numId w:val="3"/>
      </w:numPr>
    </w:pPr>
  </w:style>
  <w:style w:type="paragraph" w:styleId="29">
    <w:name w:val="toc 5"/>
    <w:basedOn w:val="1"/>
    <w:next w:val="1"/>
    <w:semiHidden/>
    <w:unhideWhenUsed/>
    <w:qFormat/>
    <w:uiPriority w:val="0"/>
    <w:pPr>
      <w:ind w:left="840"/>
      <w:jc w:val="left"/>
    </w:pPr>
    <w:rPr>
      <w:sz w:val="18"/>
      <w:szCs w:val="18"/>
    </w:rPr>
  </w:style>
  <w:style w:type="paragraph" w:styleId="30">
    <w:name w:val="toc 3"/>
    <w:basedOn w:val="1"/>
    <w:next w:val="1"/>
    <w:semiHidden/>
    <w:unhideWhenUsed/>
    <w:qFormat/>
    <w:uiPriority w:val="0"/>
    <w:pPr>
      <w:ind w:left="840" w:leftChars="400"/>
    </w:pPr>
    <w:rPr>
      <w:sz w:val="21"/>
    </w:rPr>
  </w:style>
  <w:style w:type="paragraph" w:styleId="31">
    <w:name w:val="Date"/>
    <w:basedOn w:val="1"/>
    <w:next w:val="1"/>
    <w:link w:val="80"/>
    <w:semiHidden/>
    <w:unhideWhenUsed/>
    <w:qFormat/>
    <w:uiPriority w:val="0"/>
    <w:pPr>
      <w:ind w:left="2500" w:leftChars="2500"/>
    </w:pPr>
    <w:rPr>
      <w:rFonts w:eastAsia="楷体_GB2312"/>
      <w:sz w:val="32"/>
      <w:szCs w:val="20"/>
    </w:rPr>
  </w:style>
  <w:style w:type="paragraph" w:styleId="32">
    <w:name w:val="Body Text Indent 2"/>
    <w:basedOn w:val="1"/>
    <w:link w:val="84"/>
    <w:semiHidden/>
    <w:unhideWhenUsed/>
    <w:qFormat/>
    <w:uiPriority w:val="0"/>
    <w:pPr>
      <w:snapToGrid w:val="0"/>
      <w:ind w:firstLine="542" w:firstLineChars="225"/>
    </w:pPr>
    <w:rPr>
      <w:rFonts w:ascii="仿宋_GB2312" w:hAnsi="宋体" w:cs="Arial"/>
      <w:b/>
      <w:bCs/>
      <w:color w:val="000000"/>
      <w:sz w:val="24"/>
    </w:rPr>
  </w:style>
  <w:style w:type="paragraph" w:styleId="33">
    <w:name w:val="Balloon Text"/>
    <w:basedOn w:val="1"/>
    <w:link w:val="89"/>
    <w:semiHidden/>
    <w:unhideWhenUsed/>
    <w:qFormat/>
    <w:uiPriority w:val="0"/>
    <w:rPr>
      <w:sz w:val="18"/>
      <w:szCs w:val="20"/>
    </w:rPr>
  </w:style>
  <w:style w:type="paragraph" w:styleId="34">
    <w:name w:val="footer"/>
    <w:basedOn w:val="1"/>
    <w:link w:val="75"/>
    <w:unhideWhenUsed/>
    <w:qFormat/>
    <w:uiPriority w:val="0"/>
    <w:pPr>
      <w:tabs>
        <w:tab w:val="center" w:pos="4153"/>
        <w:tab w:val="right" w:pos="8306"/>
      </w:tabs>
      <w:snapToGrid w:val="0"/>
      <w:jc w:val="left"/>
    </w:pPr>
    <w:rPr>
      <w:sz w:val="18"/>
      <w:szCs w:val="18"/>
    </w:rPr>
  </w:style>
  <w:style w:type="paragraph" w:styleId="35">
    <w:name w:val="envelope return"/>
    <w:basedOn w:val="1"/>
    <w:semiHidden/>
    <w:unhideWhenUsed/>
    <w:qFormat/>
    <w:uiPriority w:val="0"/>
    <w:pPr>
      <w:snapToGrid w:val="0"/>
    </w:pPr>
    <w:rPr>
      <w:rFonts w:ascii="Arial" w:hAnsi="Arial"/>
    </w:rPr>
  </w:style>
  <w:style w:type="paragraph" w:styleId="36">
    <w:name w:val="header"/>
    <w:basedOn w:val="1"/>
    <w:link w:val="74"/>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semiHidden/>
    <w:unhideWhenUsed/>
    <w:qFormat/>
    <w:uiPriority w:val="0"/>
    <w:rPr>
      <w:sz w:val="21"/>
    </w:rPr>
  </w:style>
  <w:style w:type="paragraph" w:styleId="38">
    <w:name w:val="Subtitle"/>
    <w:basedOn w:val="1"/>
    <w:next w:val="1"/>
    <w:link w:val="79"/>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semiHidden/>
    <w:unhideWhenUsed/>
    <w:qFormat/>
    <w:uiPriority w:val="0"/>
    <w:pPr>
      <w:ind w:left="200" w:hanging="200" w:hangingChars="200"/>
    </w:pPr>
  </w:style>
  <w:style w:type="paragraph" w:styleId="40">
    <w:name w:val="footnote text"/>
    <w:basedOn w:val="1"/>
    <w:link w:val="72"/>
    <w:semiHidden/>
    <w:unhideWhenUsed/>
    <w:qFormat/>
    <w:uiPriority w:val="0"/>
    <w:pPr>
      <w:snapToGrid w:val="0"/>
      <w:jc w:val="left"/>
    </w:pPr>
    <w:rPr>
      <w:rFonts w:eastAsia="仿宋_GB2312"/>
      <w:sz w:val="18"/>
      <w:szCs w:val="20"/>
    </w:rPr>
  </w:style>
  <w:style w:type="paragraph" w:styleId="41">
    <w:name w:val="toc 6"/>
    <w:basedOn w:val="1"/>
    <w:next w:val="1"/>
    <w:semiHidden/>
    <w:unhideWhenUsed/>
    <w:qFormat/>
    <w:uiPriority w:val="0"/>
    <w:pPr>
      <w:ind w:left="2100" w:leftChars="1000"/>
    </w:pPr>
    <w:rPr>
      <w:rFonts w:ascii="Calibri" w:hAnsi="Calibri" w:cs="黑体"/>
      <w:sz w:val="21"/>
      <w:szCs w:val="22"/>
    </w:rPr>
  </w:style>
  <w:style w:type="paragraph" w:styleId="42">
    <w:name w:val="Body Text Indent 3"/>
    <w:basedOn w:val="1"/>
    <w:link w:val="85"/>
    <w:semiHidden/>
    <w:unhideWhenUsed/>
    <w:qFormat/>
    <w:uiPriority w:val="0"/>
    <w:pPr>
      <w:spacing w:after="120"/>
      <w:ind w:left="420" w:leftChars="200"/>
    </w:pPr>
    <w:rPr>
      <w:sz w:val="16"/>
      <w:szCs w:val="16"/>
    </w:rPr>
  </w:style>
  <w:style w:type="paragraph" w:styleId="43">
    <w:name w:val="toc 2"/>
    <w:basedOn w:val="1"/>
    <w:next w:val="1"/>
    <w:semiHidden/>
    <w:unhideWhenUsed/>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4">
    <w:name w:val="Body Text 2"/>
    <w:basedOn w:val="1"/>
    <w:link w:val="82"/>
    <w:semiHidden/>
    <w:unhideWhenUsed/>
    <w:qFormat/>
    <w:uiPriority w:val="0"/>
    <w:pPr>
      <w:widowControl/>
      <w:snapToGrid w:val="0"/>
      <w:spacing w:before="50" w:afterLines="50" w:line="400" w:lineRule="atLeast"/>
      <w:jc w:val="left"/>
    </w:pPr>
    <w:rPr>
      <w:rFonts w:ascii="宋体" w:hAnsi="宋体"/>
      <w:color w:val="000000"/>
      <w:sz w:val="24"/>
    </w:rPr>
  </w:style>
  <w:style w:type="paragraph" w:styleId="45">
    <w:name w:val="Normal (Web)"/>
    <w:basedOn w:val="1"/>
    <w:semiHidden/>
    <w:unhideWhenUsed/>
    <w:qFormat/>
    <w:uiPriority w:val="0"/>
    <w:pPr>
      <w:widowControl/>
      <w:spacing w:before="100" w:beforeAutospacing="1" w:after="100" w:afterAutospacing="1"/>
      <w:jc w:val="left"/>
    </w:pPr>
    <w:rPr>
      <w:rFonts w:ascii="宋体" w:hAnsi="宋体"/>
      <w:color w:val="000000"/>
      <w:kern w:val="0"/>
      <w:sz w:val="24"/>
    </w:rPr>
  </w:style>
  <w:style w:type="paragraph" w:styleId="46">
    <w:name w:val="Title"/>
    <w:basedOn w:val="1"/>
    <w:next w:val="1"/>
    <w:link w:val="69"/>
    <w:qFormat/>
    <w:uiPriority w:val="0"/>
    <w:pPr>
      <w:spacing w:before="240" w:after="60"/>
      <w:jc w:val="center"/>
      <w:outlineLvl w:val="0"/>
    </w:pPr>
    <w:rPr>
      <w:rFonts w:asciiTheme="majorHAnsi" w:hAnsiTheme="majorHAnsi" w:eastAsiaTheme="majorEastAsia" w:cstheme="majorBidi"/>
      <w:b/>
      <w:bCs/>
      <w:sz w:val="32"/>
      <w:szCs w:val="32"/>
    </w:rPr>
  </w:style>
  <w:style w:type="paragraph" w:styleId="47">
    <w:name w:val="annotation subject"/>
    <w:basedOn w:val="19"/>
    <w:next w:val="19"/>
    <w:link w:val="88"/>
    <w:semiHidden/>
    <w:unhideWhenUsed/>
    <w:qFormat/>
    <w:uiPriority w:val="0"/>
    <w:rPr>
      <w:rFonts w:ascii="宋体"/>
      <w:b/>
      <w:bCs/>
      <w:kern w:val="0"/>
      <w:sz w:val="28"/>
      <w:szCs w:val="20"/>
    </w:rPr>
  </w:style>
  <w:style w:type="paragraph" w:styleId="48">
    <w:name w:val="Body Text First Indent 2"/>
    <w:basedOn w:val="24"/>
    <w:next w:val="1"/>
    <w:link w:val="81"/>
    <w:semiHidden/>
    <w:unhideWhenUsed/>
    <w:qFormat/>
    <w:uiPriority w:val="0"/>
    <w:pPr>
      <w:tabs>
        <w:tab w:val="left" w:pos="720"/>
        <w:tab w:val="left" w:pos="900"/>
        <w:tab w:val="left" w:pos="1260"/>
        <w:tab w:val="left" w:pos="2160"/>
        <w:tab w:val="left" w:pos="2880"/>
        <w:tab w:val="left" w:pos="3600"/>
        <w:tab w:val="left" w:pos="4320"/>
        <w:tab w:val="left" w:pos="5040"/>
        <w:tab w:val="left" w:pos="5760"/>
      </w:tabs>
      <w:spacing w:after="120" w:line="240" w:lineRule="auto"/>
      <w:ind w:left="420" w:leftChars="200" w:firstLine="420"/>
    </w:pPr>
    <w:rPr>
      <w:rFonts w:cs="宋体"/>
      <w:sz w:val="21"/>
      <w:szCs w:val="21"/>
    </w:rPr>
  </w:style>
  <w:style w:type="table" w:styleId="50">
    <w:name w:val="Table Grid"/>
    <w:basedOn w:val="4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rPr>
  </w:style>
  <w:style w:type="character" w:styleId="53">
    <w:name w:val="FollowedHyperlink"/>
    <w:semiHidden/>
    <w:unhideWhenUsed/>
    <w:qFormat/>
    <w:uiPriority w:val="0"/>
    <w:rPr>
      <w:color w:val="800080"/>
      <w:u w:val="single"/>
    </w:rPr>
  </w:style>
  <w:style w:type="character" w:styleId="54">
    <w:name w:val="Hyperlink"/>
    <w:semiHidden/>
    <w:unhideWhenUsed/>
    <w:qFormat/>
    <w:uiPriority w:val="0"/>
    <w:rPr>
      <w:color w:val="0000FF"/>
      <w:u w:val="single"/>
    </w:rPr>
  </w:style>
  <w:style w:type="character" w:styleId="55">
    <w:name w:val="annotation reference"/>
    <w:semiHidden/>
    <w:unhideWhenUsed/>
    <w:qFormat/>
    <w:uiPriority w:val="0"/>
    <w:rPr>
      <w:sz w:val="21"/>
      <w:szCs w:val="21"/>
    </w:rPr>
  </w:style>
  <w:style w:type="character" w:styleId="56">
    <w:name w:val="footnote reference"/>
    <w:semiHidden/>
    <w:unhideWhenUsed/>
    <w:qFormat/>
    <w:uiPriority w:val="0"/>
    <w:rPr>
      <w:vertAlign w:val="superscript"/>
    </w:rPr>
  </w:style>
  <w:style w:type="paragraph" w:customStyle="1" w:styleId="5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9">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character" w:customStyle="1" w:styleId="60">
    <w:name w:val="标题 1 字符"/>
    <w:basedOn w:val="51"/>
    <w:link w:val="4"/>
    <w:qFormat/>
    <w:uiPriority w:val="0"/>
    <w:rPr>
      <w:rFonts w:ascii="Times New Roman" w:hAnsi="Times New Roman" w:eastAsia="宋体" w:cs="Times New Roman"/>
      <w:b/>
      <w:bCs/>
      <w:kern w:val="44"/>
      <w:sz w:val="44"/>
      <w:szCs w:val="44"/>
    </w:rPr>
  </w:style>
  <w:style w:type="character" w:customStyle="1" w:styleId="61">
    <w:name w:val="标题 2 字符"/>
    <w:basedOn w:val="51"/>
    <w:link w:val="5"/>
    <w:semiHidden/>
    <w:qFormat/>
    <w:uiPriority w:val="0"/>
    <w:rPr>
      <w:rFonts w:ascii="Arial" w:hAnsi="Arial" w:eastAsia="黑体" w:cs="Times New Roman"/>
      <w:b/>
      <w:bCs/>
      <w:sz w:val="32"/>
      <w:szCs w:val="32"/>
    </w:rPr>
  </w:style>
  <w:style w:type="character" w:customStyle="1" w:styleId="62">
    <w:name w:val="标题 3 字符"/>
    <w:basedOn w:val="51"/>
    <w:link w:val="7"/>
    <w:semiHidden/>
    <w:qFormat/>
    <w:uiPriority w:val="0"/>
    <w:rPr>
      <w:rFonts w:ascii="Times New Roman" w:hAnsi="Times New Roman" w:eastAsia="宋体" w:cs="Times New Roman"/>
      <w:b/>
      <w:bCs/>
      <w:sz w:val="32"/>
      <w:szCs w:val="32"/>
    </w:rPr>
  </w:style>
  <w:style w:type="character" w:customStyle="1" w:styleId="63">
    <w:name w:val="标题 4 字符"/>
    <w:basedOn w:val="51"/>
    <w:link w:val="8"/>
    <w:semiHidden/>
    <w:qFormat/>
    <w:uiPriority w:val="0"/>
    <w:rPr>
      <w:rFonts w:ascii="Arial" w:hAnsi="Arial" w:eastAsia="黑体" w:cs="Times New Roman"/>
      <w:b/>
      <w:bCs/>
      <w:sz w:val="28"/>
      <w:szCs w:val="28"/>
    </w:rPr>
  </w:style>
  <w:style w:type="character" w:customStyle="1" w:styleId="64">
    <w:name w:val="标题 5 字符"/>
    <w:basedOn w:val="51"/>
    <w:link w:val="9"/>
    <w:semiHidden/>
    <w:qFormat/>
    <w:uiPriority w:val="0"/>
    <w:rPr>
      <w:rFonts w:ascii="Times New Roman" w:hAnsi="Times New Roman" w:eastAsia="宋体" w:cs="Times New Roman"/>
      <w:b/>
      <w:bCs/>
      <w:kern w:val="0"/>
      <w:sz w:val="28"/>
      <w:szCs w:val="28"/>
    </w:rPr>
  </w:style>
  <w:style w:type="character" w:customStyle="1" w:styleId="65">
    <w:name w:val="标题 6 字符"/>
    <w:basedOn w:val="51"/>
    <w:link w:val="10"/>
    <w:semiHidden/>
    <w:qFormat/>
    <w:uiPriority w:val="0"/>
    <w:rPr>
      <w:rFonts w:ascii="Arial" w:hAnsi="Arial" w:eastAsia="黑体" w:cs="Times New Roman"/>
      <w:b/>
      <w:bCs/>
      <w:kern w:val="0"/>
      <w:sz w:val="24"/>
      <w:szCs w:val="24"/>
    </w:rPr>
  </w:style>
  <w:style w:type="character" w:customStyle="1" w:styleId="66">
    <w:name w:val="标题 7 字符"/>
    <w:basedOn w:val="51"/>
    <w:link w:val="11"/>
    <w:semiHidden/>
    <w:qFormat/>
    <w:uiPriority w:val="0"/>
    <w:rPr>
      <w:rFonts w:ascii="Times New Roman" w:hAnsi="Times New Roman" w:eastAsia="宋体" w:cs="Times New Roman"/>
      <w:b/>
      <w:bCs/>
      <w:kern w:val="0"/>
      <w:sz w:val="24"/>
      <w:szCs w:val="24"/>
    </w:rPr>
  </w:style>
  <w:style w:type="character" w:customStyle="1" w:styleId="67">
    <w:name w:val="标题 8 字符"/>
    <w:basedOn w:val="51"/>
    <w:link w:val="12"/>
    <w:semiHidden/>
    <w:qFormat/>
    <w:uiPriority w:val="0"/>
    <w:rPr>
      <w:rFonts w:ascii="Arial" w:hAnsi="Arial" w:eastAsia="黑体" w:cs="Times New Roman"/>
      <w:kern w:val="0"/>
      <w:sz w:val="24"/>
      <w:szCs w:val="24"/>
    </w:rPr>
  </w:style>
  <w:style w:type="character" w:customStyle="1" w:styleId="68">
    <w:name w:val="标题 9 字符"/>
    <w:basedOn w:val="51"/>
    <w:link w:val="13"/>
    <w:semiHidden/>
    <w:qFormat/>
    <w:uiPriority w:val="0"/>
    <w:rPr>
      <w:rFonts w:ascii="Arial" w:hAnsi="Arial" w:eastAsia="黑体" w:cs="Times New Roman"/>
      <w:kern w:val="0"/>
      <w:szCs w:val="21"/>
    </w:rPr>
  </w:style>
  <w:style w:type="character" w:customStyle="1" w:styleId="69">
    <w:name w:val="标题 字符"/>
    <w:basedOn w:val="51"/>
    <w:link w:val="46"/>
    <w:qFormat/>
    <w:uiPriority w:val="0"/>
    <w:rPr>
      <w:rFonts w:asciiTheme="majorHAnsi" w:hAnsiTheme="majorHAnsi" w:eastAsiaTheme="majorEastAsia" w:cstheme="majorBidi"/>
      <w:b/>
      <w:bCs/>
      <w:sz w:val="32"/>
      <w:szCs w:val="32"/>
    </w:rPr>
  </w:style>
  <w:style w:type="paragraph" w:customStyle="1" w:styleId="70">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71">
    <w:name w:val="正文缩进 字符"/>
    <w:link w:val="15"/>
    <w:semiHidden/>
    <w:qFormat/>
    <w:locked/>
    <w:uiPriority w:val="0"/>
  </w:style>
  <w:style w:type="character" w:customStyle="1" w:styleId="72">
    <w:name w:val="脚注文本 字符"/>
    <w:basedOn w:val="51"/>
    <w:link w:val="40"/>
    <w:semiHidden/>
    <w:qFormat/>
    <w:uiPriority w:val="0"/>
    <w:rPr>
      <w:rFonts w:ascii="Times New Roman" w:hAnsi="Times New Roman" w:eastAsia="仿宋_GB2312" w:cs="Times New Roman"/>
      <w:sz w:val="18"/>
      <w:szCs w:val="20"/>
    </w:rPr>
  </w:style>
  <w:style w:type="character" w:customStyle="1" w:styleId="73">
    <w:name w:val="批注文字 字符"/>
    <w:basedOn w:val="51"/>
    <w:link w:val="19"/>
    <w:semiHidden/>
    <w:qFormat/>
    <w:uiPriority w:val="0"/>
    <w:rPr>
      <w:rFonts w:ascii="Times New Roman" w:hAnsi="Times New Roman" w:eastAsia="宋体" w:cs="Times New Roman"/>
      <w:szCs w:val="24"/>
    </w:rPr>
  </w:style>
  <w:style w:type="character" w:customStyle="1" w:styleId="74">
    <w:name w:val="页眉 字符"/>
    <w:basedOn w:val="51"/>
    <w:link w:val="36"/>
    <w:qFormat/>
    <w:uiPriority w:val="0"/>
    <w:rPr>
      <w:rFonts w:ascii="Times New Roman" w:hAnsi="Times New Roman" w:eastAsia="宋体" w:cs="Times New Roman"/>
      <w:sz w:val="18"/>
      <w:szCs w:val="18"/>
    </w:rPr>
  </w:style>
  <w:style w:type="character" w:customStyle="1" w:styleId="75">
    <w:name w:val="页脚 字符"/>
    <w:basedOn w:val="51"/>
    <w:link w:val="34"/>
    <w:qFormat/>
    <w:uiPriority w:val="0"/>
    <w:rPr>
      <w:rFonts w:ascii="Times New Roman" w:hAnsi="Times New Roman" w:eastAsia="宋体" w:cs="Times New Roman"/>
      <w:sz w:val="18"/>
      <w:szCs w:val="18"/>
    </w:rPr>
  </w:style>
  <w:style w:type="character" w:customStyle="1" w:styleId="76">
    <w:name w:val="正文文本 字符"/>
    <w:basedOn w:val="51"/>
    <w:link w:val="22"/>
    <w:semiHidden/>
    <w:qFormat/>
    <w:uiPriority w:val="0"/>
    <w:rPr>
      <w:rFonts w:ascii="Times New Roman" w:hAnsi="Times New Roman" w:eastAsia="宋体" w:cs="Times New Roman"/>
      <w:sz w:val="28"/>
      <w:szCs w:val="24"/>
    </w:rPr>
  </w:style>
  <w:style w:type="character" w:customStyle="1" w:styleId="77">
    <w:name w:val="正文文本首行缩进 字符"/>
    <w:basedOn w:val="76"/>
    <w:link w:val="23"/>
    <w:semiHidden/>
    <w:qFormat/>
    <w:uiPriority w:val="0"/>
    <w:rPr>
      <w:rFonts w:ascii="Times New Roman" w:hAnsi="Times New Roman" w:eastAsia="宋体" w:cs="Times New Roman"/>
      <w:sz w:val="28"/>
      <w:szCs w:val="24"/>
    </w:rPr>
  </w:style>
  <w:style w:type="character" w:customStyle="1" w:styleId="78">
    <w:name w:val="正文文本缩进 字符"/>
    <w:basedOn w:val="51"/>
    <w:link w:val="24"/>
    <w:semiHidden/>
    <w:qFormat/>
    <w:uiPriority w:val="0"/>
    <w:rPr>
      <w:rFonts w:ascii="宋体" w:hAnsi="Courier New" w:eastAsia="宋体" w:cs="Times New Roman"/>
      <w:spacing w:val="-4"/>
      <w:sz w:val="18"/>
      <w:szCs w:val="20"/>
    </w:rPr>
  </w:style>
  <w:style w:type="character" w:customStyle="1" w:styleId="79">
    <w:name w:val="副标题 字符"/>
    <w:basedOn w:val="51"/>
    <w:link w:val="38"/>
    <w:qFormat/>
    <w:uiPriority w:val="0"/>
    <w:rPr>
      <w:rFonts w:ascii="Cambria" w:hAnsi="Cambria" w:eastAsia="宋体" w:cs="Times New Roman"/>
      <w:b/>
      <w:bCs/>
      <w:kern w:val="28"/>
      <w:sz w:val="32"/>
      <w:szCs w:val="32"/>
    </w:rPr>
  </w:style>
  <w:style w:type="character" w:customStyle="1" w:styleId="80">
    <w:name w:val="日期 字符"/>
    <w:basedOn w:val="51"/>
    <w:link w:val="31"/>
    <w:semiHidden/>
    <w:qFormat/>
    <w:uiPriority w:val="0"/>
    <w:rPr>
      <w:rFonts w:ascii="Times New Roman" w:hAnsi="Times New Roman" w:eastAsia="楷体_GB2312" w:cs="Times New Roman"/>
      <w:sz w:val="32"/>
      <w:szCs w:val="20"/>
    </w:rPr>
  </w:style>
  <w:style w:type="character" w:customStyle="1" w:styleId="81">
    <w:name w:val="正文文本首行缩进 2 字符"/>
    <w:basedOn w:val="78"/>
    <w:link w:val="48"/>
    <w:semiHidden/>
    <w:qFormat/>
    <w:uiPriority w:val="0"/>
    <w:rPr>
      <w:rFonts w:ascii="宋体" w:hAnsi="Courier New" w:eastAsia="宋体" w:cs="宋体"/>
      <w:spacing w:val="-4"/>
      <w:sz w:val="18"/>
      <w:szCs w:val="21"/>
    </w:rPr>
  </w:style>
  <w:style w:type="character" w:customStyle="1" w:styleId="82">
    <w:name w:val="正文文本 2 字符"/>
    <w:basedOn w:val="51"/>
    <w:link w:val="44"/>
    <w:semiHidden/>
    <w:qFormat/>
    <w:uiPriority w:val="0"/>
    <w:rPr>
      <w:rFonts w:ascii="宋体" w:hAnsi="宋体" w:eastAsia="宋体" w:cs="Times New Roman"/>
      <w:color w:val="000000"/>
      <w:sz w:val="24"/>
      <w:szCs w:val="24"/>
    </w:rPr>
  </w:style>
  <w:style w:type="character" w:customStyle="1" w:styleId="83">
    <w:name w:val="正文文本 3 字符"/>
    <w:basedOn w:val="51"/>
    <w:link w:val="21"/>
    <w:semiHidden/>
    <w:qFormat/>
    <w:uiPriority w:val="0"/>
    <w:rPr>
      <w:rFonts w:ascii="Times New Roman" w:hAnsi="宋体" w:eastAsia="仿宋_GB2312" w:cs="Times New Roman"/>
      <w:b/>
      <w:bCs/>
      <w:sz w:val="24"/>
      <w:szCs w:val="20"/>
    </w:rPr>
  </w:style>
  <w:style w:type="character" w:customStyle="1" w:styleId="84">
    <w:name w:val="正文文本缩进 2 字符"/>
    <w:basedOn w:val="51"/>
    <w:link w:val="32"/>
    <w:semiHidden/>
    <w:qFormat/>
    <w:uiPriority w:val="0"/>
    <w:rPr>
      <w:rFonts w:ascii="仿宋_GB2312" w:hAnsi="宋体" w:eastAsia="宋体" w:cs="Arial"/>
      <w:b/>
      <w:bCs/>
      <w:color w:val="000000"/>
      <w:sz w:val="24"/>
      <w:szCs w:val="24"/>
    </w:rPr>
  </w:style>
  <w:style w:type="character" w:customStyle="1" w:styleId="85">
    <w:name w:val="正文文本缩进 3 字符"/>
    <w:basedOn w:val="51"/>
    <w:link w:val="42"/>
    <w:semiHidden/>
    <w:qFormat/>
    <w:uiPriority w:val="0"/>
    <w:rPr>
      <w:rFonts w:ascii="Times New Roman" w:hAnsi="Times New Roman" w:eastAsia="宋体" w:cs="Times New Roman"/>
      <w:sz w:val="16"/>
      <w:szCs w:val="16"/>
    </w:rPr>
  </w:style>
  <w:style w:type="character" w:customStyle="1" w:styleId="86">
    <w:name w:val="文档结构图 字符"/>
    <w:basedOn w:val="51"/>
    <w:link w:val="2"/>
    <w:semiHidden/>
    <w:qFormat/>
    <w:uiPriority w:val="0"/>
    <w:rPr>
      <w:rFonts w:ascii="Times New Roman" w:hAnsi="Times New Roman" w:eastAsia="宋体" w:cs="Times New Roman"/>
      <w:kern w:val="0"/>
      <w:sz w:val="20"/>
      <w:szCs w:val="24"/>
      <w:shd w:val="clear" w:color="auto" w:fill="000080"/>
    </w:rPr>
  </w:style>
  <w:style w:type="character" w:customStyle="1" w:styleId="87">
    <w:name w:val="纯文本 字符"/>
    <w:basedOn w:val="51"/>
    <w:link w:val="3"/>
    <w:semiHidden/>
    <w:qFormat/>
    <w:uiPriority w:val="0"/>
    <w:rPr>
      <w:rFonts w:ascii="宋体" w:hAnsi="Courier New" w:eastAsia="宋体" w:cs="Times New Roman"/>
      <w:sz w:val="24"/>
      <w:szCs w:val="24"/>
    </w:rPr>
  </w:style>
  <w:style w:type="character" w:customStyle="1" w:styleId="88">
    <w:name w:val="批注主题 字符"/>
    <w:basedOn w:val="73"/>
    <w:link w:val="47"/>
    <w:semiHidden/>
    <w:qFormat/>
    <w:uiPriority w:val="0"/>
    <w:rPr>
      <w:rFonts w:ascii="宋体" w:hAnsi="Times New Roman" w:eastAsia="宋体" w:cs="Times New Roman"/>
      <w:b/>
      <w:bCs/>
      <w:kern w:val="0"/>
      <w:sz w:val="28"/>
      <w:szCs w:val="20"/>
    </w:rPr>
  </w:style>
  <w:style w:type="character" w:customStyle="1" w:styleId="89">
    <w:name w:val="批注框文本 字符"/>
    <w:basedOn w:val="51"/>
    <w:link w:val="33"/>
    <w:semiHidden/>
    <w:qFormat/>
    <w:uiPriority w:val="0"/>
    <w:rPr>
      <w:rFonts w:ascii="Times New Roman" w:hAnsi="Times New Roman" w:eastAsia="宋体" w:cs="Times New Roman"/>
      <w:sz w:val="18"/>
      <w:szCs w:val="20"/>
    </w:rPr>
  </w:style>
  <w:style w:type="paragraph" w:styleId="90">
    <w:name w:val="List Paragraph"/>
    <w:basedOn w:val="1"/>
    <w:qFormat/>
    <w:uiPriority w:val="0"/>
    <w:pPr>
      <w:ind w:firstLine="420" w:firstLineChars="200"/>
    </w:pPr>
    <w:rPr>
      <w:rFonts w:ascii="Calibri" w:hAnsi="Calibri"/>
      <w:sz w:val="21"/>
      <w:szCs w:val="22"/>
    </w:rPr>
  </w:style>
  <w:style w:type="paragraph" w:styleId="91">
    <w:name w:val="Quote"/>
    <w:basedOn w:val="1"/>
    <w:next w:val="1"/>
    <w:link w:val="92"/>
    <w:qFormat/>
    <w:uiPriority w:val="0"/>
    <w:rPr>
      <w:i/>
      <w:iCs/>
      <w:color w:val="000000"/>
      <w:sz w:val="21"/>
      <w:szCs w:val="22"/>
    </w:rPr>
  </w:style>
  <w:style w:type="character" w:customStyle="1" w:styleId="92">
    <w:name w:val="引用 字符"/>
    <w:basedOn w:val="51"/>
    <w:link w:val="91"/>
    <w:qFormat/>
    <w:uiPriority w:val="0"/>
    <w:rPr>
      <w:rFonts w:ascii="Times New Roman" w:hAnsi="Times New Roman" w:eastAsia="宋体" w:cs="Times New Roman"/>
      <w:i/>
      <w:iCs/>
      <w:color w:val="000000"/>
    </w:rPr>
  </w:style>
  <w:style w:type="paragraph" w:styleId="93">
    <w:name w:val="Intense Quote"/>
    <w:basedOn w:val="1"/>
    <w:next w:val="1"/>
    <w:link w:val="94"/>
    <w:qFormat/>
    <w:uiPriority w:val="0"/>
    <w:pPr>
      <w:pBdr>
        <w:bottom w:val="single" w:color="4F81BD" w:sz="4" w:space="4"/>
      </w:pBdr>
      <w:spacing w:before="200" w:after="280"/>
      <w:ind w:left="936" w:right="936"/>
    </w:pPr>
    <w:rPr>
      <w:b/>
      <w:bCs/>
      <w:i/>
      <w:iCs/>
      <w:color w:val="4F81BD"/>
      <w:sz w:val="21"/>
      <w:szCs w:val="22"/>
    </w:rPr>
  </w:style>
  <w:style w:type="character" w:customStyle="1" w:styleId="94">
    <w:name w:val="明显引用 字符"/>
    <w:basedOn w:val="51"/>
    <w:link w:val="93"/>
    <w:qFormat/>
    <w:uiPriority w:val="0"/>
    <w:rPr>
      <w:rFonts w:ascii="Times New Roman" w:hAnsi="Times New Roman" w:eastAsia="宋体" w:cs="Times New Roman"/>
      <w:b/>
      <w:bCs/>
      <w:i/>
      <w:iCs/>
      <w:color w:val="4F81BD"/>
    </w:rPr>
  </w:style>
  <w:style w:type="character" w:customStyle="1" w:styleId="95">
    <w:name w:val="ZJ正文 Char"/>
    <w:link w:val="96"/>
    <w:qFormat/>
    <w:locked/>
    <w:uiPriority w:val="0"/>
    <w:rPr>
      <w:sz w:val="24"/>
      <w:szCs w:val="24"/>
    </w:rPr>
  </w:style>
  <w:style w:type="paragraph" w:customStyle="1" w:styleId="96">
    <w:name w:val="ZJ正文"/>
    <w:basedOn w:val="1"/>
    <w:link w:val="95"/>
    <w:qFormat/>
    <w:uiPriority w:val="0"/>
    <w:pPr>
      <w:ind w:firstLine="480" w:firstLineChars="200"/>
    </w:pPr>
    <w:rPr>
      <w:rFonts w:asciiTheme="minorHAnsi" w:hAnsiTheme="minorHAnsi" w:eastAsiaTheme="minorEastAsia" w:cstheme="minorBidi"/>
      <w:sz w:val="24"/>
    </w:rPr>
  </w:style>
  <w:style w:type="character" w:customStyle="1" w:styleId="97">
    <w:name w:val="列出段落 Char"/>
    <w:link w:val="98"/>
    <w:qFormat/>
    <w:locked/>
    <w:uiPriority w:val="0"/>
  </w:style>
  <w:style w:type="paragraph" w:customStyle="1" w:styleId="98">
    <w:name w:val="列表段落1"/>
    <w:basedOn w:val="1"/>
    <w:link w:val="97"/>
    <w:qFormat/>
    <w:uiPriority w:val="0"/>
    <w:pPr>
      <w:ind w:firstLine="420" w:firstLineChars="200"/>
    </w:pPr>
    <w:rPr>
      <w:rFonts w:asciiTheme="minorHAnsi" w:hAnsiTheme="minorHAnsi" w:eastAsiaTheme="minorEastAsia" w:cstheme="minorBidi"/>
      <w:sz w:val="21"/>
      <w:szCs w:val="22"/>
    </w:rPr>
  </w:style>
  <w:style w:type="character" w:customStyle="1" w:styleId="99">
    <w:name w:val="标题5 Char Char"/>
    <w:link w:val="100"/>
    <w:qFormat/>
    <w:locked/>
    <w:uiPriority w:val="0"/>
    <w:rPr>
      <w:rFonts w:ascii="Arial" w:hAnsi="Arial" w:cs="Arial"/>
      <w:b/>
      <w:bCs/>
      <w:sz w:val="24"/>
      <w:szCs w:val="32"/>
    </w:rPr>
  </w:style>
  <w:style w:type="paragraph" w:customStyle="1" w:styleId="100">
    <w:name w:val="标题5"/>
    <w:basedOn w:val="7"/>
    <w:link w:val="99"/>
    <w:qFormat/>
    <w:uiPriority w:val="0"/>
    <w:rPr>
      <w:rFonts w:ascii="Arial" w:hAnsi="Arial" w:cs="Arial" w:eastAsiaTheme="minorEastAsia"/>
      <w:sz w:val="24"/>
    </w:rPr>
  </w:style>
  <w:style w:type="paragraph" w:customStyle="1" w:styleId="101">
    <w:name w:val="占位符文本2"/>
    <w:basedOn w:val="1"/>
    <w:qFormat/>
    <w:uiPriority w:val="0"/>
    <w:pPr>
      <w:keepNext/>
      <w:numPr>
        <w:ilvl w:val="0"/>
        <w:numId w:val="4"/>
      </w:numPr>
      <w:spacing w:line="360" w:lineRule="auto"/>
      <w:outlineLvl w:val="0"/>
    </w:pPr>
    <w:rPr>
      <w:rFonts w:ascii="宋体"/>
      <w:sz w:val="24"/>
    </w:rPr>
  </w:style>
  <w:style w:type="paragraph" w:customStyle="1" w:styleId="102">
    <w:name w:val="正文缩进2字符"/>
    <w:basedOn w:val="1"/>
    <w:qFormat/>
    <w:uiPriority w:val="0"/>
    <w:pPr>
      <w:ind w:firstLine="480" w:firstLineChars="200"/>
    </w:pPr>
    <w:rPr>
      <w:rFonts w:ascii="宋体" w:hAnsi="宋体"/>
      <w:sz w:val="24"/>
      <w:szCs w:val="20"/>
    </w:rPr>
  </w:style>
  <w:style w:type="paragraph" w:customStyle="1" w:styleId="10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04">
    <w:name w:val="p0"/>
    <w:basedOn w:val="1"/>
    <w:qFormat/>
    <w:uiPriority w:val="0"/>
    <w:pPr>
      <w:widowControl/>
    </w:pPr>
    <w:rPr>
      <w:kern w:val="0"/>
      <w:szCs w:val="28"/>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7">
    <w:name w:val="注释级别 6"/>
    <w:basedOn w:val="1"/>
    <w:qFormat/>
    <w:uiPriority w:val="0"/>
    <w:pPr>
      <w:keepNext/>
      <w:numPr>
        <w:ilvl w:val="5"/>
        <w:numId w:val="4"/>
      </w:numPr>
      <w:tabs>
        <w:tab w:val="left" w:pos="0"/>
      </w:tabs>
      <w:spacing w:line="360" w:lineRule="auto"/>
      <w:outlineLvl w:val="5"/>
    </w:pPr>
    <w:rPr>
      <w:rFonts w:ascii="宋体"/>
      <w:sz w:val="24"/>
    </w:rPr>
  </w:style>
  <w:style w:type="paragraph" w:customStyle="1" w:styleId="108">
    <w:name w:val="表格"/>
    <w:basedOn w:val="1"/>
    <w:qFormat/>
    <w:uiPriority w:val="0"/>
    <w:pPr>
      <w:jc w:val="center"/>
    </w:pPr>
    <w:rPr>
      <w:rFonts w:ascii="华文细黑" w:hAnsi="华文细黑"/>
      <w:kern w:val="0"/>
      <w:sz w:val="21"/>
      <w:szCs w:val="20"/>
    </w:rPr>
  </w:style>
  <w:style w:type="paragraph" w:customStyle="1" w:styleId="109">
    <w:name w:val="表格文字"/>
    <w:basedOn w:val="1"/>
    <w:qFormat/>
    <w:uiPriority w:val="0"/>
    <w:pPr>
      <w:adjustRightInd w:val="0"/>
      <w:spacing w:line="420" w:lineRule="atLeast"/>
      <w:jc w:val="left"/>
    </w:pPr>
    <w:rPr>
      <w:kern w:val="0"/>
      <w:sz w:val="21"/>
      <w:szCs w:val="20"/>
    </w:rPr>
  </w:style>
  <w:style w:type="paragraph" w:customStyle="1" w:styleId="110">
    <w:name w:val="Char"/>
    <w:basedOn w:val="1"/>
    <w:qFormat/>
    <w:uiPriority w:val="0"/>
    <w:rPr>
      <w:sz w:val="24"/>
    </w:rPr>
  </w:style>
  <w:style w:type="paragraph" w:customStyle="1" w:styleId="111">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1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3">
    <w:name w:val="样式 样式 样式1 + 首行缩进:  2 字符 + 左侧:  0.74 厘米"/>
    <w:basedOn w:val="111"/>
    <w:qFormat/>
    <w:uiPriority w:val="0"/>
    <w:pPr>
      <w:ind w:firstLine="200"/>
    </w:pPr>
  </w:style>
  <w:style w:type="paragraph" w:customStyle="1" w:styleId="114">
    <w:name w:val="Char2"/>
    <w:basedOn w:val="1"/>
    <w:qFormat/>
    <w:uiPriority w:val="0"/>
    <w:rPr>
      <w:rFonts w:ascii="仿宋_GB2312" w:eastAsia="仿宋_GB2312"/>
      <w:b/>
      <w:sz w:val="32"/>
      <w:szCs w:val="32"/>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6">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17">
    <w:name w:val="注释级别 8"/>
    <w:basedOn w:val="1"/>
    <w:qFormat/>
    <w:uiPriority w:val="0"/>
    <w:pPr>
      <w:keepNext/>
      <w:numPr>
        <w:ilvl w:val="7"/>
        <w:numId w:val="4"/>
      </w:numPr>
      <w:tabs>
        <w:tab w:val="left" w:pos="0"/>
      </w:tabs>
      <w:spacing w:line="360" w:lineRule="auto"/>
      <w:outlineLvl w:val="7"/>
    </w:pPr>
    <w:rPr>
      <w:rFonts w:ascii="宋体"/>
      <w:sz w:val="24"/>
    </w:rPr>
  </w:style>
  <w:style w:type="paragraph" w:customStyle="1" w:styleId="118">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1"/>
    <w:basedOn w:val="1"/>
    <w:qFormat/>
    <w:uiPriority w:val="0"/>
    <w:pPr>
      <w:jc w:val="center"/>
    </w:pPr>
    <w:rPr>
      <w:rFonts w:ascii="仿宋_GB2312" w:eastAsia="仿宋_GB2312"/>
      <w:b/>
      <w:kern w:val="0"/>
      <w:sz w:val="32"/>
      <w:szCs w:val="32"/>
      <w:lang w:val="en-GB"/>
    </w:rPr>
  </w:style>
  <w:style w:type="paragraph" w:customStyle="1" w:styleId="120">
    <w:name w:val="6'"/>
    <w:basedOn w:val="1"/>
    <w:qFormat/>
    <w:uiPriority w:val="0"/>
    <w:pPr>
      <w:autoSpaceDE w:val="0"/>
      <w:autoSpaceDN w:val="0"/>
      <w:adjustRightInd w:val="0"/>
      <w:snapToGrid w:val="0"/>
      <w:spacing w:line="320" w:lineRule="exact"/>
      <w:jc w:val="center"/>
    </w:pPr>
    <w:rPr>
      <w:spacing w:val="20"/>
      <w:kern w:val="28"/>
      <w:sz w:val="21"/>
      <w:szCs w:val="20"/>
    </w:rPr>
  </w:style>
  <w:style w:type="paragraph" w:customStyle="1" w:styleId="12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22">
    <w:name w:val="注释级别 3"/>
    <w:basedOn w:val="1"/>
    <w:qFormat/>
    <w:uiPriority w:val="0"/>
    <w:pPr>
      <w:keepNext/>
      <w:numPr>
        <w:ilvl w:val="2"/>
        <w:numId w:val="4"/>
      </w:numPr>
      <w:tabs>
        <w:tab w:val="left" w:pos="0"/>
      </w:tabs>
      <w:spacing w:line="360" w:lineRule="auto"/>
      <w:outlineLvl w:val="2"/>
    </w:pPr>
    <w:rPr>
      <w:rFonts w:ascii="宋体"/>
      <w:sz w:val="24"/>
    </w:rPr>
  </w:style>
  <w:style w:type="paragraph" w:customStyle="1" w:styleId="123">
    <w:name w:val="注释级别 7"/>
    <w:basedOn w:val="1"/>
    <w:qFormat/>
    <w:uiPriority w:val="0"/>
    <w:pPr>
      <w:keepNext/>
      <w:numPr>
        <w:ilvl w:val="6"/>
        <w:numId w:val="4"/>
      </w:numPr>
      <w:tabs>
        <w:tab w:val="left" w:pos="0"/>
      </w:tabs>
      <w:spacing w:line="360" w:lineRule="auto"/>
      <w:outlineLvl w:val="6"/>
    </w:pPr>
    <w:rPr>
      <w:rFonts w:ascii="宋体"/>
      <w:sz w:val="24"/>
    </w:rPr>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paragraph" w:customStyle="1" w:styleId="125">
    <w:name w:val="样式 标题 3 + Arial"/>
    <w:basedOn w:val="7"/>
    <w:qFormat/>
    <w:uiPriority w:val="0"/>
    <w:pPr>
      <w:spacing w:before="0" w:beforeLines="100" w:after="0" w:line="360" w:lineRule="auto"/>
    </w:pPr>
    <w:rPr>
      <w:rFonts w:ascii="Arial" w:hAnsi="Arial"/>
      <w:sz w:val="24"/>
    </w:rPr>
  </w:style>
  <w:style w:type="paragraph" w:customStyle="1" w:styleId="126">
    <w:name w:val="1"/>
    <w:basedOn w:val="1"/>
    <w:next w:val="1"/>
    <w:qFormat/>
    <w:uiPriority w:val="0"/>
    <w:rPr>
      <w:sz w:val="21"/>
    </w:rPr>
  </w:style>
  <w:style w:type="paragraph" w:customStyle="1" w:styleId="127">
    <w:name w:val="注释级别 5"/>
    <w:basedOn w:val="1"/>
    <w:qFormat/>
    <w:uiPriority w:val="0"/>
    <w:pPr>
      <w:keepNext/>
      <w:numPr>
        <w:ilvl w:val="4"/>
        <w:numId w:val="4"/>
      </w:numPr>
      <w:tabs>
        <w:tab w:val="left" w:pos="0"/>
      </w:tabs>
      <w:spacing w:line="360" w:lineRule="auto"/>
      <w:outlineLvl w:val="4"/>
    </w:pPr>
    <w:rPr>
      <w:rFonts w:ascii="宋体"/>
      <w:sz w:val="24"/>
    </w:rPr>
  </w:style>
  <w:style w:type="paragraph" w:customStyle="1" w:styleId="128">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注释级别 4"/>
    <w:basedOn w:val="1"/>
    <w:qFormat/>
    <w:uiPriority w:val="0"/>
    <w:pPr>
      <w:keepNext/>
      <w:numPr>
        <w:ilvl w:val="3"/>
        <w:numId w:val="4"/>
      </w:numPr>
      <w:tabs>
        <w:tab w:val="left" w:pos="0"/>
      </w:tabs>
      <w:spacing w:line="360" w:lineRule="auto"/>
      <w:outlineLvl w:val="3"/>
    </w:pPr>
    <w:rPr>
      <w:rFonts w:ascii="宋体"/>
      <w:sz w:val="24"/>
    </w:rPr>
  </w:style>
  <w:style w:type="paragraph" w:customStyle="1" w:styleId="130">
    <w:name w:val="注释级别 9"/>
    <w:basedOn w:val="1"/>
    <w:qFormat/>
    <w:uiPriority w:val="0"/>
    <w:pPr>
      <w:keepNext/>
      <w:numPr>
        <w:ilvl w:val="8"/>
        <w:numId w:val="4"/>
      </w:numPr>
      <w:tabs>
        <w:tab w:val="left" w:pos="0"/>
      </w:tabs>
      <w:spacing w:line="360" w:lineRule="auto"/>
      <w:outlineLvl w:val="8"/>
    </w:pPr>
    <w:rPr>
      <w:rFonts w:ascii="宋体"/>
      <w:sz w:val="24"/>
    </w:rPr>
  </w:style>
  <w:style w:type="paragraph" w:customStyle="1" w:styleId="131">
    <w:name w:val="reader-word-layer reader-word-s1-0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样式 标题 3 + 段前: 7.8 磅"/>
    <w:basedOn w:val="7"/>
    <w:qFormat/>
    <w:uiPriority w:val="0"/>
    <w:pPr>
      <w:keepNext w:val="0"/>
      <w:keepLines w:val="0"/>
      <w:spacing w:before="156" w:after="0" w:line="360" w:lineRule="auto"/>
      <w:ind w:left="2220" w:hanging="420"/>
    </w:pPr>
    <w:rPr>
      <w:rFonts w:cs="宋体"/>
      <w:b w:val="0"/>
      <w:bCs w:val="0"/>
      <w:sz w:val="24"/>
      <w:szCs w:val="20"/>
    </w:rPr>
  </w:style>
  <w:style w:type="paragraph" w:customStyle="1" w:styleId="133">
    <w:name w:val="4、正文"/>
    <w:basedOn w:val="1"/>
    <w:qFormat/>
    <w:uiPriority w:val="0"/>
    <w:pPr>
      <w:ind w:firstLine="200" w:firstLineChars="200"/>
    </w:pPr>
    <w:rPr>
      <w:rFonts w:ascii="宋体"/>
      <w:sz w:val="24"/>
      <w:szCs w:val="28"/>
    </w:rPr>
  </w:style>
  <w:style w:type="paragraph" w:customStyle="1" w:styleId="1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标题1"/>
    <w:basedOn w:val="136"/>
    <w:next w:val="136"/>
    <w:qFormat/>
    <w:uiPriority w:val="0"/>
    <w:pPr>
      <w:spacing w:beforeLines="100" w:afterLines="25"/>
      <w:jc w:val="center"/>
      <w:outlineLvl w:val="0"/>
    </w:pPr>
    <w:rPr>
      <w:rFonts w:ascii="Arial" w:hAnsi="Arial" w:cs="Arial"/>
      <w:b/>
      <w:bCs/>
      <w:sz w:val="32"/>
      <w:szCs w:val="32"/>
    </w:rPr>
  </w:style>
  <w:style w:type="paragraph" w:customStyle="1" w:styleId="136">
    <w:name w:val="正文1"/>
    <w:next w:val="13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3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38">
    <w:name w:val="Table Paragraph"/>
    <w:basedOn w:val="1"/>
    <w:qFormat/>
    <w:uiPriority w:val="1"/>
    <w:rPr>
      <w:rFonts w:ascii="宋体" w:hAnsi="宋体" w:cs="宋体"/>
      <w:lang w:val="zh-CN" w:bidi="zh-CN"/>
    </w:rPr>
  </w:style>
  <w:style w:type="paragraph" w:customStyle="1" w:styleId="139">
    <w:name w:val="正文_14"/>
    <w:qFormat/>
    <w:uiPriority w:val="0"/>
    <w:rPr>
      <w:rFonts w:ascii="Times New Roman" w:hAnsi="Times New Roman" w:eastAsia="宋体" w:cs="Times New Roman"/>
      <w:kern w:val="0"/>
      <w:sz w:val="21"/>
      <w:szCs w:val="22"/>
      <w:lang w:val="en-US" w:eastAsia="zh-CN" w:bidi="ar-SA"/>
    </w:rPr>
  </w:style>
  <w:style w:type="character" w:customStyle="1" w:styleId="140">
    <w:name w:val="正文文字4 Char Char"/>
    <w:qFormat/>
    <w:uiPriority w:val="0"/>
    <w:rPr>
      <w:rFonts w:hint="eastAsia" w:ascii="宋体" w:hAnsi="宋体" w:eastAsia="宋体"/>
      <w:kern w:val="2"/>
      <w:sz w:val="21"/>
      <w:szCs w:val="24"/>
      <w:lang w:val="en-US" w:eastAsia="zh-CN" w:bidi="ar-SA"/>
    </w:rPr>
  </w:style>
  <w:style w:type="character" w:customStyle="1" w:styleId="141">
    <w:name w:val="明显引用 字符1"/>
    <w:basedOn w:val="51"/>
    <w:qFormat/>
    <w:uiPriority w:val="30"/>
    <w:rPr>
      <w:i/>
      <w:iCs/>
      <w:color w:val="4472C4" w:themeColor="accent1"/>
      <w:kern w:val="2"/>
      <w:sz w:val="28"/>
      <w:szCs w:val="24"/>
      <w14:textFill>
        <w14:solidFill>
          <w14:schemeClr w14:val="accent1"/>
        </w14:solidFill>
      </w14:textFill>
    </w:rPr>
  </w:style>
  <w:style w:type="character" w:customStyle="1" w:styleId="142">
    <w:name w:val="文档结构图 Char1"/>
    <w:qFormat/>
    <w:uiPriority w:val="0"/>
    <w:rPr>
      <w:rFonts w:hint="eastAsia" w:ascii="宋体" w:hAnsi="宋体" w:eastAsia="宋体"/>
      <w:kern w:val="2"/>
      <w:sz w:val="18"/>
      <w:szCs w:val="18"/>
    </w:rPr>
  </w:style>
  <w:style w:type="character" w:customStyle="1" w:styleId="143">
    <w:name w:val="font161"/>
    <w:qFormat/>
    <w:uiPriority w:val="0"/>
    <w:rPr>
      <w:b/>
      <w:bCs/>
      <w:sz w:val="32"/>
      <w:szCs w:val="32"/>
    </w:rPr>
  </w:style>
  <w:style w:type="character" w:customStyle="1" w:styleId="144">
    <w:name w:val="Char Char19"/>
    <w:qFormat/>
    <w:uiPriority w:val="0"/>
    <w:rPr>
      <w:rFonts w:hint="default" w:ascii="Arial" w:hAnsi="Arial" w:eastAsia="黑体" w:cs="Arial"/>
      <w:b/>
      <w:bCs/>
      <w:kern w:val="2"/>
      <w:sz w:val="32"/>
      <w:szCs w:val="32"/>
      <w:lang w:val="en-US" w:eastAsia="zh-CN" w:bidi="ar-SA"/>
    </w:rPr>
  </w:style>
  <w:style w:type="character" w:customStyle="1" w:styleId="145">
    <w:name w:val="Char Char7"/>
    <w:qFormat/>
    <w:uiPriority w:val="0"/>
    <w:rPr>
      <w:rFonts w:hint="eastAsia" w:ascii="宋体" w:hAnsi="Courier New" w:eastAsia="宋体"/>
      <w:kern w:val="2"/>
      <w:sz w:val="21"/>
      <w:lang w:val="en-US" w:eastAsia="zh-CN" w:bidi="ar-SA"/>
    </w:rPr>
  </w:style>
  <w:style w:type="character" w:customStyle="1" w:styleId="146">
    <w:name w:val="批注主题 Char1"/>
    <w:qFormat/>
    <w:uiPriority w:val="0"/>
    <w:rPr>
      <w:b/>
      <w:bCs/>
      <w:kern w:val="2"/>
      <w:sz w:val="28"/>
      <w:szCs w:val="24"/>
    </w:rPr>
  </w:style>
  <w:style w:type="character" w:customStyle="1" w:styleId="147">
    <w:name w:val="htd01"/>
    <w:basedOn w:val="51"/>
    <w:qFormat/>
    <w:uiPriority w:val="0"/>
  </w:style>
  <w:style w:type="character" w:customStyle="1" w:styleId="148">
    <w:name w:val="纯文本 Char2"/>
    <w:qFormat/>
    <w:uiPriority w:val="0"/>
    <w:rPr>
      <w:rFonts w:hint="eastAsia" w:ascii="宋体" w:hAnsi="Courier New" w:eastAsia="宋体"/>
      <w:kern w:val="2"/>
      <w:sz w:val="24"/>
      <w:szCs w:val="24"/>
      <w:lang w:val="en-US" w:eastAsia="zh-CN" w:bidi="ar-SA"/>
    </w:rPr>
  </w:style>
  <w:style w:type="character" w:customStyle="1" w:styleId="149">
    <w:name w:val="font11"/>
    <w:basedOn w:val="51"/>
    <w:qFormat/>
    <w:uiPriority w:val="0"/>
    <w:rPr>
      <w:rFonts w:hint="eastAsia" w:ascii="宋体" w:hAnsi="宋体" w:eastAsia="宋体" w:cs="宋体"/>
      <w:color w:val="FF0000"/>
      <w:sz w:val="20"/>
      <w:szCs w:val="20"/>
      <w:u w:val="none"/>
    </w:rPr>
  </w:style>
  <w:style w:type="character" w:customStyle="1" w:styleId="150">
    <w:name w:val="普通文字 Char Char Char1"/>
    <w:qFormat/>
    <w:uiPriority w:val="0"/>
    <w:rPr>
      <w:rFonts w:hint="eastAsia" w:ascii="宋体" w:hAnsi="Courier New" w:eastAsia="宋体"/>
      <w:kern w:val="2"/>
      <w:sz w:val="24"/>
      <w:szCs w:val="24"/>
      <w:lang w:val="en-US" w:eastAsia="zh-CN" w:bidi="ar-SA"/>
    </w:rPr>
  </w:style>
  <w:style w:type="character" w:customStyle="1" w:styleId="151">
    <w:name w:val="副标题 Char1"/>
    <w:qFormat/>
    <w:uiPriority w:val="0"/>
    <w:rPr>
      <w:rFonts w:hint="default" w:ascii="Cambria" w:hAnsi="Cambria" w:cs="Times New Roman"/>
      <w:b/>
      <w:bCs/>
      <w:kern w:val="28"/>
      <w:sz w:val="32"/>
      <w:szCs w:val="32"/>
    </w:rPr>
  </w:style>
  <w:style w:type="character" w:customStyle="1" w:styleId="152">
    <w:name w:val="Char Char8"/>
    <w:qFormat/>
    <w:uiPriority w:val="0"/>
    <w:rPr>
      <w:rFonts w:hint="eastAsia" w:ascii="宋体" w:hAnsi="宋体" w:eastAsia="宋体"/>
      <w:kern w:val="2"/>
      <w:sz w:val="21"/>
      <w:szCs w:val="24"/>
      <w:lang w:val="en-US" w:eastAsia="zh-CN" w:bidi="ar-SA"/>
    </w:rPr>
  </w:style>
  <w:style w:type="character" w:customStyle="1" w:styleId="153">
    <w:name w:val="fx_label"/>
    <w:basedOn w:val="51"/>
    <w:qFormat/>
    <w:uiPriority w:val="0"/>
  </w:style>
  <w:style w:type="character" w:customStyle="1" w:styleId="154">
    <w:name w:val="引用 字符1"/>
    <w:basedOn w:val="51"/>
    <w:qFormat/>
    <w:uiPriority w:val="29"/>
    <w:rPr>
      <w:i/>
      <w:iCs/>
      <w:color w:val="404040" w:themeColor="text1" w:themeTint="BF"/>
      <w:kern w:val="2"/>
      <w:sz w:val="28"/>
      <w:szCs w:val="24"/>
      <w14:textFill>
        <w14:solidFill>
          <w14:schemeClr w14:val="tx1">
            <w14:lumMod w14:val="75000"/>
            <w14:lumOff w14:val="25000"/>
          </w14:schemeClr>
        </w14:solidFill>
      </w14:textFill>
    </w:rPr>
  </w:style>
  <w:style w:type="character" w:customStyle="1" w:styleId="155">
    <w:name w:val="Char Char6"/>
    <w:qFormat/>
    <w:uiPriority w:val="0"/>
    <w:rPr>
      <w:rFonts w:hint="eastAsia" w:ascii="宋体" w:hAnsi="宋体" w:eastAsia="宋体"/>
      <w:kern w:val="2"/>
      <w:sz w:val="21"/>
      <w:szCs w:val="24"/>
      <w:lang w:val="en-US" w:eastAsia="zh-CN" w:bidi="ar-SA"/>
    </w:rPr>
  </w:style>
  <w:style w:type="character" w:customStyle="1" w:styleId="156">
    <w:name w:val="Char Char1"/>
    <w:qFormat/>
    <w:uiPriority w:val="0"/>
    <w:rPr>
      <w:rFonts w:hint="default" w:ascii="Arial" w:hAnsi="Arial" w:eastAsia="黑体" w:cs="Arial"/>
      <w:b/>
      <w:bCs/>
      <w:kern w:val="2"/>
      <w:sz w:val="32"/>
      <w:szCs w:val="32"/>
      <w:lang w:val="en-US" w:eastAsia="zh-CN" w:bidi="ar-SA"/>
    </w:rPr>
  </w:style>
  <w:style w:type="character" w:customStyle="1" w:styleId="157">
    <w:name w:val="明显引用 Char1"/>
    <w:qFormat/>
    <w:uiPriority w:val="0"/>
    <w:rPr>
      <w:b/>
      <w:bCs/>
      <w:i/>
      <w:iCs/>
      <w:color w:val="4F81BD"/>
      <w:kern w:val="2"/>
      <w:sz w:val="28"/>
      <w:szCs w:val="24"/>
    </w:rPr>
  </w:style>
  <w:style w:type="character" w:customStyle="1" w:styleId="158">
    <w:name w:val="font31"/>
    <w:basedOn w:val="51"/>
    <w:qFormat/>
    <w:uiPriority w:val="0"/>
    <w:rPr>
      <w:rFonts w:hint="eastAsia" w:ascii="宋体" w:hAnsi="宋体" w:eastAsia="宋体" w:cs="宋体"/>
      <w:color w:val="000000"/>
      <w:sz w:val="20"/>
      <w:szCs w:val="20"/>
      <w:u w:val="none"/>
    </w:rPr>
  </w:style>
  <w:style w:type="character" w:customStyle="1" w:styleId="159">
    <w:name w:val="批注文字 Char1"/>
    <w:qFormat/>
    <w:uiPriority w:val="0"/>
    <w:rPr>
      <w:kern w:val="2"/>
      <w:sz w:val="28"/>
      <w:szCs w:val="24"/>
    </w:rPr>
  </w:style>
  <w:style w:type="character" w:customStyle="1" w:styleId="160">
    <w:name w:val="引用 Char1"/>
    <w:qFormat/>
    <w:uiPriority w:val="0"/>
    <w:rPr>
      <w:i/>
      <w:iCs/>
      <w:color w:val="000000"/>
      <w:kern w:val="2"/>
      <w:sz w:val="28"/>
      <w:szCs w:val="24"/>
    </w:rPr>
  </w:style>
  <w:style w:type="character" w:customStyle="1" w:styleId="161">
    <w:name w:val="标题4 Char Char"/>
    <w:qFormat/>
    <w:uiPriority w:val="0"/>
    <w:rPr>
      <w:rFonts w:hint="eastAsia" w:ascii="仿宋_GB2312" w:eastAsia="仿宋_GB2312"/>
      <w:kern w:val="2"/>
      <w:sz w:val="32"/>
      <w:lang w:val="en-US" w:eastAsia="zh-CN" w:bidi="ar-SA"/>
    </w:rPr>
  </w:style>
  <w:style w:type="paragraph" w:customStyle="1" w:styleId="162">
    <w:name w:val="纯文本_3"/>
    <w:basedOn w:val="134"/>
    <w:qFormat/>
    <w:uiPriority w:val="0"/>
    <w:pPr>
      <w:widowControl/>
      <w:jc w:val="left"/>
    </w:pPr>
    <w:rPr>
      <w:rFonts w:ascii="宋体" w:hAnsi="Courier New"/>
      <w:szCs w:val="21"/>
    </w:rPr>
  </w:style>
  <w:style w:type="character" w:customStyle="1" w:styleId="163">
    <w:name w:val="font41"/>
    <w:basedOn w:val="51"/>
    <w:qFormat/>
    <w:uiPriority w:val="0"/>
    <w:rPr>
      <w:rFonts w:hint="eastAsia" w:ascii="宋体" w:hAnsi="宋体" w:eastAsia="宋体" w:cs="宋体"/>
      <w:color w:val="000000"/>
      <w:sz w:val="28"/>
      <w:szCs w:val="28"/>
      <w:u w:val="none"/>
    </w:rPr>
  </w:style>
  <w:style w:type="character" w:customStyle="1" w:styleId="164">
    <w:name w:val="font81"/>
    <w:basedOn w:val="51"/>
    <w:qFormat/>
    <w:uiPriority w:val="0"/>
    <w:rPr>
      <w:rFonts w:hint="eastAsia" w:ascii="宋体" w:hAnsi="宋体" w:eastAsia="宋体" w:cs="宋体"/>
      <w:color w:val="FF0000"/>
      <w:sz w:val="28"/>
      <w:szCs w:val="28"/>
      <w:u w:val="none"/>
    </w:rPr>
  </w:style>
  <w:style w:type="character" w:customStyle="1" w:styleId="165">
    <w:name w:val="font91"/>
    <w:basedOn w:val="51"/>
    <w:qFormat/>
    <w:uiPriority w:val="0"/>
    <w:rPr>
      <w:rFonts w:ascii="Arial" w:hAnsi="Arial" w:cs="Arial"/>
      <w:color w:val="000000"/>
      <w:sz w:val="18"/>
      <w:szCs w:val="18"/>
      <w:u w:val="none"/>
    </w:rPr>
  </w:style>
  <w:style w:type="character" w:customStyle="1" w:styleId="166">
    <w:name w:val="font51"/>
    <w:basedOn w:val="51"/>
    <w:qFormat/>
    <w:uiPriority w:val="0"/>
    <w:rPr>
      <w:rFonts w:hint="eastAsia" w:ascii="微软雅黑" w:hAnsi="微软雅黑" w:eastAsia="微软雅黑" w:cs="微软雅黑"/>
      <w:color w:val="333333"/>
      <w:sz w:val="24"/>
      <w:szCs w:val="24"/>
      <w:u w:val="none"/>
    </w:rPr>
  </w:style>
  <w:style w:type="paragraph" w:customStyle="1" w:styleId="167">
    <w:name w:val="Table Text"/>
    <w:basedOn w:val="1"/>
    <w:semiHidden/>
    <w:qFormat/>
    <w:uiPriority w:val="0"/>
    <w:rPr>
      <w:rFonts w:ascii="宋体" w:hAnsi="宋体" w:eastAsia="宋体" w:cs="宋体"/>
      <w:sz w:val="18"/>
      <w:szCs w:val="18"/>
      <w:lang w:val="en-US" w:eastAsia="en-US" w:bidi="ar-SA"/>
    </w:rPr>
  </w:style>
  <w:style w:type="table" w:customStyle="1" w:styleId="168">
    <w:name w:val="Table Normal"/>
    <w:semiHidden/>
    <w:unhideWhenUsed/>
    <w:qFormat/>
    <w:uiPriority w:val="0"/>
    <w:tblPr>
      <w:tblCellMar>
        <w:top w:w="0" w:type="dxa"/>
        <w:left w:w="0" w:type="dxa"/>
        <w:bottom w:w="0" w:type="dxa"/>
        <w:right w:w="0" w:type="dxa"/>
      </w:tblCellMar>
    </w:tblPr>
  </w:style>
  <w:style w:type="paragraph" w:customStyle="1" w:styleId="169">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12856</Words>
  <Characters>13533</Characters>
  <Lines>1</Lines>
  <Paragraphs>1</Paragraphs>
  <TotalTime>12</TotalTime>
  <ScaleCrop>false</ScaleCrop>
  <LinksUpToDate>false</LinksUpToDate>
  <CharactersWithSpaces>13652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2022-04-22T22:47:00Z</dcterms:created>
  <dc:creator>AI Xinhua</dc:creator>
  <cp:lastModifiedBy>pc-q</cp:lastModifiedBy>
  <cp:lastPrinted>2025-04-21T08:10:00Z</cp:lastPrinted>
  <dcterms:modified xsi:type="dcterms:W3CDTF">2025-04-22T07:07:01Z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5D3D08F8F30D447B89ADE3785316C19E_13</vt:lpwstr>
  </property>
  <property fmtid="{D5CDD505-2E9C-101B-9397-08002B2CF9AE}" pid="4" name="KSOTemplateDocerSaveRecord">
    <vt:lpwstr>eyJoZGlkIjoiYmJhNTdjZTNlNzg5YTg3ZjZjZGIwMjkyNTMwZGYwMDIiLCJ1c2VySWQiOiIyMDQ1ODk4OTUifQ==</vt:lpwstr>
  </property>
</Properties>
</file>